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3F72"/>
          <w:sz w:val="32"/>
        </w:rPr>
        <w:t>PREGUNTAS QUE RESPONDE ESTE TABLERO</w:t>
      </w:r>
    </w:p>
    <w:p>
      <w:pPr>
        <w:spacing w:before="0" w:after="320"/>
        <w:jc w:val="center"/>
      </w:pPr>
      <w:r>
        <w:rPr>
          <w:i/>
          <w:color w:val="6B7280"/>
          <w:sz w:val="20"/>
        </w:rPr>
        <w:t>Dashboard de Autorizaciones Médicas — IPS Interconsultas SAS</w:t>
      </w:r>
    </w:p>
    <w:p>
      <w:pPr>
        <w:spacing w:before="0" w:after="0"/>
        <w:pBdr>
          <w:bottom w:val="single" w:sz="4" w:space="1" w:color="D1D5DB"/>
        </w:pBdr>
      </w:pPr>
    </w:p>
    <w:p>
      <w:pPr>
        <w:spacing w:after="80"/>
      </w:pPr>
    </w:p>
    <w:p>
      <w:pPr>
        <w:spacing w:before="120" w:after="120"/>
      </w:pPr>
      <w:r>
        <w:rPr>
          <w:b/>
          <w:color w:val="4EA234"/>
          <w:sz w:val="22"/>
        </w:rPr>
        <w:t>USO DE SERVICIOS</w:t>
      </w:r>
    </w:p>
    <w:p>
      <w:pPr>
        <w:spacing w:before="0" w:after="0"/>
        <w:pBdr>
          <w:bottom w:val="single" w:sz="4" w:space="1" w:color="D1D5DB"/>
        </w:pBdr>
      </w:pP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¿Cuáles son los medicamentos y laboratorios más ordenados?</w:t>
      </w: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¿Cómo evoluciona la demanda mes a mes?</w:t>
      </w: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¿Qué servicios muestran caídas o picos anómalos?</w:t>
      </w:r>
    </w:p>
    <w:p>
      <w:pPr>
        <w:spacing w:after="80"/>
      </w:pPr>
    </w:p>
    <w:p>
      <w:pPr>
        <w:spacing w:before="120" w:after="120"/>
      </w:pPr>
      <w:r>
        <w:rPr>
          <w:b/>
          <w:color w:val="1A3F72"/>
          <w:sz w:val="22"/>
        </w:rPr>
        <w:t>PRESCRIPTORES</w:t>
      </w:r>
    </w:p>
    <w:p>
      <w:pPr>
        <w:spacing w:before="0" w:after="0"/>
        <w:pBdr>
          <w:bottom w:val="single" w:sz="4" w:space="1" w:color="D1D5DB"/>
        </w:pBdr>
      </w:pP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¿Qué IPS y médicos concentran el ordenamiento?</w:t>
      </w: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¿Cuánto ordena cada médico por consulta vs. meta?</w:t>
      </w: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¿Quién remite más a red externa (fuga de costos)?</w:t>
      </w:r>
    </w:p>
    <w:p>
      <w:pPr>
        <w:spacing w:after="80"/>
      </w:pPr>
    </w:p>
    <w:p>
      <w:pPr>
        <w:spacing w:before="120" w:after="120"/>
      </w:pPr>
      <w:r>
        <w:rPr>
          <w:b/>
          <w:color w:val="4EA234"/>
          <w:sz w:val="22"/>
        </w:rPr>
        <w:t>EFICIENCIA</w:t>
      </w:r>
    </w:p>
    <w:p>
      <w:pPr>
        <w:spacing w:before="0" w:after="0"/>
        <w:pBdr>
          <w:bottom w:val="single" w:sz="4" w:space="1" w:color="D1D5DB"/>
        </w:pBdr>
      </w:pP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¿Se cumplen las tasas meta de medicamentos, labs e imágenes?</w:t>
      </w: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¿El laboratorio opera con la complejidad esperada?</w:t>
      </w: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¿Qué % de analitos viene de red interna vs. externa?</w:t>
      </w:r>
    </w:p>
    <w:p>
      <w:pPr>
        <w:spacing w:after="80"/>
      </w:pPr>
    </w:p>
    <w:p>
      <w:pPr>
        <w:spacing w:before="120" w:after="120"/>
      </w:pPr>
      <w:r>
        <w:rPr>
          <w:b/>
          <w:color w:val="1A3F72"/>
          <w:sz w:val="22"/>
        </w:rPr>
        <w:t>PRODUCTIVIDAD</w:t>
      </w:r>
    </w:p>
    <w:p>
      <w:pPr>
        <w:spacing w:before="0" w:after="0"/>
        <w:pBdr>
          <w:bottom w:val="single" w:sz="4" w:space="1" w:color="D1D5DB"/>
        </w:pBdr>
      </w:pP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¿Cuántas consultas confirmadas hace cada médico al mes?</w:t>
      </w: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¿Quiénes están por debajo del promedio?</w:t>
      </w: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¿Qué proyección hay para ene 2026 según días hábiles?</w:t>
      </w:r>
    </w:p>
    <w:p>
      <w:pPr>
        <w:spacing w:after="80"/>
      </w:pPr>
    </w:p>
    <w:p>
      <w:pPr>
        <w:spacing w:before="120" w:after="120"/>
      </w:pPr>
      <w:r>
        <w:rPr>
          <w:b/>
          <w:color w:val="4EA234"/>
          <w:sz w:val="22"/>
        </w:rPr>
        <w:t>SEGMENTACIÓN</w:t>
      </w:r>
    </w:p>
    <w:p>
      <w:pPr>
        <w:spacing w:before="0" w:after="0"/>
        <w:pBdr>
          <w:bottom w:val="single" w:sz="4" w:space="1" w:color="D1D5DB"/>
        </w:pBdr>
      </w:pP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¿Cómo se distribuye la demanda entre RCV, PyM, CPR, SSR?</w:t>
      </w: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¿Cuál es el peso de cada programa en el total?</w:t>
      </w:r>
    </w:p>
    <w:p>
      <w:pPr>
        <w:pStyle w:val="ListBullet"/>
        <w:spacing w:before="60" w:after="60"/>
        <w:ind w:left="432"/>
      </w:pPr>
      <w:r>
        <w:rPr>
          <w:color w:val="111827"/>
          <w:sz w:val="21"/>
        </w:rPr>
        <w:t>¿Hay sobrecarga en programas específicos?</w:t>
      </w:r>
    </w:p>
    <w:p/>
    <w:p>
      <w:pPr>
        <w:spacing w:before="0" w:after="0"/>
        <w:pBdr>
          <w:bottom w:val="single" w:sz="4" w:space="1" w:color="D1D5DB"/>
        </w:pBdr>
      </w:pPr>
    </w:p>
    <w:p>
      <w:pPr>
        <w:spacing w:before="120"/>
        <w:jc w:val="right"/>
      </w:pPr>
      <w:r>
        <w:rPr>
          <w:i/>
          <w:color w:val="6B7280"/>
          <w:sz w:val="16"/>
        </w:rPr>
        <w:t>IPS Interconsultas SAS — Abril 2026</w:t>
      </w:r>
    </w:p>
    <w:sectPr w:rsidR="00FC693F" w:rsidRPr="0006063C" w:rsidSect="00034616">
      <w:pgSz w:w="12240" w:h="15840"/>
      <w:pgMar w:top="1728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