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4E7B" w:rsidRDefault="007417E4" w:rsidP="000E059A">
      <w:pPr>
        <w:pStyle w:val="Heading1"/>
      </w:pPr>
      <w:r>
        <w:t xml:space="preserve">TUSHARE </w:t>
      </w:r>
    </w:p>
    <w:p w:rsidR="008567B2" w:rsidRDefault="00D57036" w:rsidP="008751A6">
      <w:pPr>
        <w:pStyle w:val="Heading2"/>
      </w:pPr>
      <w:r>
        <w:rPr>
          <w:rFonts w:hint="eastAsia"/>
        </w:rPr>
        <w:t>每日指标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daily_basic</w:t>
      </w:r>
      <w:proofErr w:type="spellEnd"/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TS股票代码</w:t>
      </w:r>
    </w:p>
    <w:p w:rsidR="00D57036" w:rsidRDefault="00D57036" w:rsidP="00D57036">
      <w:proofErr w:type="spellStart"/>
      <w:r>
        <w:t>trade_date</w:t>
      </w:r>
      <w:proofErr w:type="spellEnd"/>
      <w:r>
        <w:tab/>
      </w:r>
      <w:proofErr w:type="spellStart"/>
      <w:r>
        <w:t>str</w:t>
      </w:r>
      <w:proofErr w:type="spellEnd"/>
      <w:r>
        <w:tab/>
        <w:t>交易日期</w:t>
      </w:r>
    </w:p>
    <w:p w:rsidR="00D57036" w:rsidRDefault="00D57036" w:rsidP="00D57036">
      <w:r>
        <w:t>close</w:t>
      </w:r>
      <w:r>
        <w:tab/>
        <w:t>float</w:t>
      </w:r>
      <w:r>
        <w:tab/>
        <w:t>当日收盘价</w:t>
      </w:r>
    </w:p>
    <w:p w:rsidR="00D57036" w:rsidRDefault="00D57036" w:rsidP="00D57036">
      <w:proofErr w:type="spellStart"/>
      <w:r>
        <w:t>turnover_rate</w:t>
      </w:r>
      <w:proofErr w:type="spellEnd"/>
      <w:r>
        <w:tab/>
        <w:t>float</w:t>
      </w:r>
      <w:r>
        <w:tab/>
        <w:t>换手率（%）</w:t>
      </w:r>
    </w:p>
    <w:p w:rsidR="00D57036" w:rsidRDefault="00D57036" w:rsidP="00D57036">
      <w:proofErr w:type="spellStart"/>
      <w:r>
        <w:t>turnover_rate_f</w:t>
      </w:r>
      <w:proofErr w:type="spellEnd"/>
      <w:r>
        <w:tab/>
        <w:t>float</w:t>
      </w:r>
      <w:r>
        <w:tab/>
        <w:t>换手率（自由流通股）</w:t>
      </w:r>
    </w:p>
    <w:p w:rsidR="00D57036" w:rsidRDefault="00D57036" w:rsidP="00D57036">
      <w:proofErr w:type="spellStart"/>
      <w:r>
        <w:t>volume_ratio</w:t>
      </w:r>
      <w:proofErr w:type="spellEnd"/>
      <w:r>
        <w:tab/>
        <w:t>float</w:t>
      </w:r>
      <w:r>
        <w:tab/>
        <w:t>量比</w:t>
      </w:r>
    </w:p>
    <w:p w:rsidR="00D57036" w:rsidRDefault="00D57036" w:rsidP="00D57036">
      <w:proofErr w:type="spellStart"/>
      <w:r>
        <w:t>pe</w:t>
      </w:r>
      <w:proofErr w:type="spellEnd"/>
      <w:r>
        <w:tab/>
        <w:t>float</w:t>
      </w:r>
      <w:r>
        <w:tab/>
        <w:t>市盈率（总市值/净利润）</w:t>
      </w:r>
    </w:p>
    <w:p w:rsidR="00D57036" w:rsidRDefault="00D57036" w:rsidP="00D57036">
      <w:proofErr w:type="spellStart"/>
      <w:r>
        <w:t>pe_ttm</w:t>
      </w:r>
      <w:proofErr w:type="spellEnd"/>
      <w:r>
        <w:tab/>
        <w:t>float</w:t>
      </w:r>
      <w:r>
        <w:tab/>
        <w:t>市盈率（TTM）</w:t>
      </w:r>
    </w:p>
    <w:p w:rsidR="00D57036" w:rsidRDefault="00D57036" w:rsidP="00D57036">
      <w:proofErr w:type="spellStart"/>
      <w:r>
        <w:t>pb</w:t>
      </w:r>
      <w:proofErr w:type="spellEnd"/>
      <w:r>
        <w:tab/>
        <w:t>float</w:t>
      </w:r>
      <w:r>
        <w:tab/>
        <w:t>市净率（总市值/净资产）</w:t>
      </w:r>
    </w:p>
    <w:p w:rsidR="00D57036" w:rsidRDefault="00D57036" w:rsidP="00D57036">
      <w:proofErr w:type="spellStart"/>
      <w:r>
        <w:t>ps</w:t>
      </w:r>
      <w:proofErr w:type="spellEnd"/>
      <w:r>
        <w:tab/>
        <w:t>float</w:t>
      </w:r>
      <w:r>
        <w:tab/>
        <w:t>市销率</w:t>
      </w:r>
    </w:p>
    <w:p w:rsidR="00D57036" w:rsidRDefault="00D57036" w:rsidP="00D57036">
      <w:proofErr w:type="spellStart"/>
      <w:r>
        <w:t>ps_ttm</w:t>
      </w:r>
      <w:proofErr w:type="spellEnd"/>
      <w:r>
        <w:tab/>
        <w:t>float</w:t>
      </w:r>
      <w:r>
        <w:tab/>
        <w:t>市销率（TTM）</w:t>
      </w:r>
    </w:p>
    <w:p w:rsidR="00D57036" w:rsidRDefault="00D57036" w:rsidP="00D57036">
      <w:proofErr w:type="spellStart"/>
      <w:r>
        <w:t>total_share</w:t>
      </w:r>
      <w:proofErr w:type="spellEnd"/>
      <w:r>
        <w:tab/>
        <w:t>float</w:t>
      </w:r>
      <w:r>
        <w:tab/>
        <w:t>总股本 （万股）</w:t>
      </w:r>
    </w:p>
    <w:p w:rsidR="00D57036" w:rsidRDefault="00D57036" w:rsidP="00D57036">
      <w:proofErr w:type="spellStart"/>
      <w:r>
        <w:t>float_share</w:t>
      </w:r>
      <w:proofErr w:type="spellEnd"/>
      <w:r>
        <w:tab/>
        <w:t>float</w:t>
      </w:r>
      <w:r>
        <w:tab/>
        <w:t>流通股本 （万股）</w:t>
      </w:r>
    </w:p>
    <w:p w:rsidR="00D57036" w:rsidRDefault="00D57036" w:rsidP="00D57036">
      <w:proofErr w:type="spellStart"/>
      <w:r>
        <w:t>free_share</w:t>
      </w:r>
      <w:proofErr w:type="spellEnd"/>
      <w:r>
        <w:tab/>
        <w:t>float</w:t>
      </w:r>
      <w:r>
        <w:tab/>
        <w:t>自由流通股本 （万）</w:t>
      </w:r>
    </w:p>
    <w:p w:rsidR="00D57036" w:rsidRDefault="00D57036" w:rsidP="00D57036">
      <w:proofErr w:type="spellStart"/>
      <w:r>
        <w:t>total_mv</w:t>
      </w:r>
      <w:proofErr w:type="spellEnd"/>
      <w:r>
        <w:tab/>
        <w:t>float</w:t>
      </w:r>
      <w:r>
        <w:tab/>
        <w:t>总市值 （万元）</w:t>
      </w:r>
    </w:p>
    <w:p w:rsidR="00D57036" w:rsidRDefault="00D57036" w:rsidP="00D57036">
      <w:proofErr w:type="spellStart"/>
      <w:r>
        <w:t>circ_mv</w:t>
      </w:r>
      <w:proofErr w:type="spellEnd"/>
      <w:r>
        <w:tab/>
        <w:t>float</w:t>
      </w:r>
      <w:r>
        <w:tab/>
        <w:t>流通市值（万元）</w:t>
      </w:r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t>日线行情</w:t>
      </w:r>
    </w:p>
    <w:p w:rsidR="00D57036" w:rsidRDefault="00D57036" w:rsidP="00D57036">
      <w:r>
        <w:rPr>
          <w:rFonts w:hint="eastAsia"/>
        </w:rPr>
        <w:t>接口：</w:t>
      </w:r>
      <w:r>
        <w:t>daily</w:t>
      </w:r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股票代码</w:t>
      </w:r>
    </w:p>
    <w:p w:rsidR="00D57036" w:rsidRDefault="00D57036" w:rsidP="00D57036">
      <w:proofErr w:type="spellStart"/>
      <w:r>
        <w:t>trade_date</w:t>
      </w:r>
      <w:proofErr w:type="spellEnd"/>
      <w:r>
        <w:tab/>
      </w:r>
      <w:proofErr w:type="spellStart"/>
      <w:r>
        <w:t>str</w:t>
      </w:r>
      <w:proofErr w:type="spellEnd"/>
      <w:r>
        <w:tab/>
        <w:t>交易日期</w:t>
      </w:r>
    </w:p>
    <w:p w:rsidR="00D57036" w:rsidRDefault="00D57036" w:rsidP="00D57036">
      <w:r>
        <w:t>open</w:t>
      </w:r>
      <w:r>
        <w:tab/>
        <w:t>float</w:t>
      </w:r>
      <w:r>
        <w:tab/>
        <w:t>开盘价</w:t>
      </w:r>
    </w:p>
    <w:p w:rsidR="00D57036" w:rsidRDefault="00D57036" w:rsidP="00D57036">
      <w:r>
        <w:t>high</w:t>
      </w:r>
      <w:r>
        <w:tab/>
        <w:t>float</w:t>
      </w:r>
      <w:r>
        <w:tab/>
        <w:t>最高价</w:t>
      </w:r>
    </w:p>
    <w:p w:rsidR="00D57036" w:rsidRDefault="00D57036" w:rsidP="00D57036">
      <w:r>
        <w:t>low</w:t>
      </w:r>
      <w:r>
        <w:tab/>
        <w:t>float</w:t>
      </w:r>
      <w:r>
        <w:tab/>
        <w:t>最低价</w:t>
      </w:r>
    </w:p>
    <w:p w:rsidR="00D57036" w:rsidRDefault="00D57036" w:rsidP="00D57036">
      <w:r>
        <w:t>close</w:t>
      </w:r>
      <w:r>
        <w:tab/>
        <w:t>float</w:t>
      </w:r>
      <w:r>
        <w:tab/>
        <w:t>收盘价</w:t>
      </w:r>
    </w:p>
    <w:p w:rsidR="00D57036" w:rsidRDefault="00D57036" w:rsidP="00D57036">
      <w:proofErr w:type="spellStart"/>
      <w:r>
        <w:t>pre_close</w:t>
      </w:r>
      <w:proofErr w:type="spellEnd"/>
      <w:r>
        <w:tab/>
        <w:t>float</w:t>
      </w:r>
      <w:r>
        <w:tab/>
        <w:t>昨收价</w:t>
      </w:r>
    </w:p>
    <w:p w:rsidR="00D57036" w:rsidRDefault="00D57036" w:rsidP="00D57036">
      <w:r>
        <w:t>change</w:t>
      </w:r>
      <w:r>
        <w:tab/>
        <w:t>float</w:t>
      </w:r>
      <w:r>
        <w:tab/>
        <w:t>涨跌额</w:t>
      </w:r>
    </w:p>
    <w:p w:rsidR="00D57036" w:rsidRDefault="00D57036" w:rsidP="00D57036">
      <w:proofErr w:type="spellStart"/>
      <w:r>
        <w:t>pct_chg</w:t>
      </w:r>
      <w:proofErr w:type="spellEnd"/>
      <w:r>
        <w:tab/>
        <w:t>float</w:t>
      </w:r>
      <w:r>
        <w:tab/>
        <w:t>涨跌幅 （未复权，如果是复权请用 通用行情接口 ）</w:t>
      </w:r>
    </w:p>
    <w:p w:rsidR="00D57036" w:rsidRDefault="00D57036" w:rsidP="00D57036">
      <w:proofErr w:type="spellStart"/>
      <w:r>
        <w:t>vol</w:t>
      </w:r>
      <w:proofErr w:type="spellEnd"/>
      <w:r>
        <w:tab/>
        <w:t>float</w:t>
      </w:r>
      <w:r>
        <w:tab/>
        <w:t>成交量 （手）</w:t>
      </w:r>
    </w:p>
    <w:p w:rsidR="00D57036" w:rsidRDefault="00D57036" w:rsidP="00D57036">
      <w:r>
        <w:t>amount</w:t>
      </w:r>
      <w:r>
        <w:tab/>
        <w:t>float</w:t>
      </w:r>
      <w:r>
        <w:tab/>
        <w:t>成交额 （千元）</w:t>
      </w:r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lastRenderedPageBreak/>
        <w:t>财务指标数据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fina_indicator</w:t>
      </w:r>
      <w:proofErr w:type="spellEnd"/>
    </w:p>
    <w:p w:rsidR="00D57036" w:rsidRDefault="00D57036" w:rsidP="00D57036">
      <w:r>
        <w:rPr>
          <w:rFonts w:hint="eastAsia"/>
        </w:rPr>
        <w:t>名称</w:t>
      </w:r>
      <w:r>
        <w:tab/>
        <w:t>类型</w:t>
      </w:r>
      <w:r>
        <w:tab/>
        <w:t>默认显示</w:t>
      </w:r>
      <w:r>
        <w:tab/>
        <w:t>描述</w:t>
      </w:r>
    </w:p>
    <w:p w:rsidR="00D57036" w:rsidRDefault="00D57036" w:rsidP="00D57036">
      <w:proofErr w:type="spellStart"/>
      <w:r>
        <w:t>ts_code</w:t>
      </w:r>
      <w:proofErr w:type="spellEnd"/>
      <w:r>
        <w:tab/>
      </w:r>
      <w:proofErr w:type="spellStart"/>
      <w:r>
        <w:t>str</w:t>
      </w:r>
      <w:proofErr w:type="spellEnd"/>
      <w:r>
        <w:tab/>
        <w:t>Y</w:t>
      </w:r>
      <w:r>
        <w:tab/>
        <w:t>TS代码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ann_date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str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公告日期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end_date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str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报告期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eps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基本每股收益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dt_eps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稀释每股收益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capital_rese_ps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每股资本公积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undist_profit_ps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每股未分配利润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gross_margin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毛利</w:t>
      </w:r>
    </w:p>
    <w:p w:rsidR="00D57036" w:rsidRPr="00D57036" w:rsidRDefault="00D57036" w:rsidP="00D57036">
      <w:pPr>
        <w:rPr>
          <w:lang w:val="fr-FR"/>
        </w:rPr>
      </w:pPr>
      <w:r w:rsidRPr="00D57036">
        <w:rPr>
          <w:lang w:val="fr-FR"/>
        </w:rPr>
        <w:t>bps</w:t>
      </w:r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每股净资产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净资产收益率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roe_waa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加权平均净资产收益率</w:t>
      </w:r>
    </w:p>
    <w:p w:rsidR="00D57036" w:rsidRPr="00D57036" w:rsidRDefault="00D57036" w:rsidP="00D57036">
      <w:pPr>
        <w:rPr>
          <w:lang w:val="fr-FR"/>
        </w:rPr>
      </w:pPr>
      <w:proofErr w:type="spellStart"/>
      <w:r w:rsidRPr="00D57036">
        <w:rPr>
          <w:lang w:val="fr-FR"/>
        </w:rPr>
        <w:t>roe_dt</w:t>
      </w:r>
      <w:proofErr w:type="spellEnd"/>
      <w:r w:rsidRPr="00D57036">
        <w:rPr>
          <w:lang w:val="fr-FR"/>
        </w:rPr>
        <w:tab/>
      </w:r>
      <w:proofErr w:type="spellStart"/>
      <w:r w:rsidRPr="00D57036">
        <w:rPr>
          <w:lang w:val="fr-FR"/>
        </w:rPr>
        <w:t>float</w:t>
      </w:r>
      <w:proofErr w:type="spellEnd"/>
      <w:r w:rsidRPr="00D57036">
        <w:rPr>
          <w:lang w:val="fr-FR"/>
        </w:rPr>
        <w:tab/>
        <w:t>Y</w:t>
      </w:r>
      <w:r w:rsidRPr="00D57036">
        <w:rPr>
          <w:lang w:val="fr-FR"/>
        </w:rPr>
        <w:tab/>
      </w:r>
      <w:r>
        <w:t>净资产收益率</w:t>
      </w:r>
      <w:r w:rsidRPr="00D57036">
        <w:rPr>
          <w:lang w:val="fr-FR"/>
        </w:rPr>
        <w:t>(</w:t>
      </w:r>
      <w:r>
        <w:t>扣除非经常损益</w:t>
      </w:r>
      <w:r w:rsidRPr="00D57036">
        <w:rPr>
          <w:lang w:val="fr-FR"/>
        </w:rPr>
        <w:t>)</w:t>
      </w:r>
    </w:p>
    <w:p w:rsidR="00D57036" w:rsidRDefault="00D57036" w:rsidP="00D57036">
      <w:r>
        <w:rPr>
          <w:rFonts w:hint="eastAsia"/>
        </w:rPr>
        <w:t>基本每股收益</w:t>
      </w:r>
      <w:r>
        <w:t xml:space="preserve"> ：eps</w:t>
      </w:r>
    </w:p>
    <w:p w:rsidR="00D57036" w:rsidRDefault="00D57036" w:rsidP="00D57036">
      <w:r>
        <w:rPr>
          <w:rFonts w:hint="eastAsia"/>
        </w:rPr>
        <w:t>稀释每股收益</w:t>
      </w:r>
      <w:r>
        <w:t xml:space="preserve"> : </w:t>
      </w:r>
      <w:proofErr w:type="spellStart"/>
      <w:r>
        <w:t>dt_eps</w:t>
      </w:r>
      <w:proofErr w:type="spellEnd"/>
    </w:p>
    <w:p w:rsidR="00D57036" w:rsidRDefault="00D57036" w:rsidP="00D57036">
      <w:r>
        <w:rPr>
          <w:rFonts w:hint="eastAsia"/>
        </w:rPr>
        <w:t>每股净资产</w:t>
      </w:r>
      <w:r>
        <w:t xml:space="preserve"> : bps</w:t>
      </w:r>
    </w:p>
    <w:p w:rsidR="00D57036" w:rsidRDefault="00D57036" w:rsidP="00D57036">
      <w:r>
        <w:rPr>
          <w:rFonts w:hint="eastAsia"/>
        </w:rPr>
        <w:t>净资产收益率</w:t>
      </w:r>
      <w:r>
        <w:t xml:space="preserve"> : roe</w:t>
      </w:r>
    </w:p>
    <w:p w:rsidR="00D57036" w:rsidRDefault="00D57036" w:rsidP="00D57036">
      <w:r>
        <w:rPr>
          <w:rFonts w:hint="eastAsia"/>
        </w:rPr>
        <w:t>净资产收益率</w:t>
      </w:r>
      <w:r>
        <w:t xml:space="preserve">(扣除非经常损益) : </w:t>
      </w:r>
      <w:proofErr w:type="spellStart"/>
      <w:r>
        <w:t>roe_dt</w:t>
      </w:r>
      <w:proofErr w:type="spellEnd"/>
    </w:p>
    <w:p w:rsidR="00D57036" w:rsidRDefault="00D57036" w:rsidP="00D57036">
      <w:r>
        <w:rPr>
          <w:rFonts w:hint="eastAsia"/>
        </w:rPr>
        <w:t>年化净资产收益率</w:t>
      </w:r>
      <w:r>
        <w:t xml:space="preserve"> : </w:t>
      </w:r>
      <w:proofErr w:type="spellStart"/>
      <w:r>
        <w:t>roe_yearly</w:t>
      </w:r>
      <w:proofErr w:type="spellEnd"/>
    </w:p>
    <w:p w:rsidR="00D57036" w:rsidRDefault="00D57036" w:rsidP="00D57036">
      <w:r>
        <w:rPr>
          <w:rFonts w:hint="eastAsia"/>
        </w:rPr>
        <w:t>净利润同比增长率</w:t>
      </w:r>
      <w:r>
        <w:t xml:space="preserve">(%)(单季度): </w:t>
      </w:r>
      <w:proofErr w:type="spellStart"/>
      <w:r>
        <w:t>q_profit_yoy</w:t>
      </w:r>
      <w:proofErr w:type="spellEnd"/>
    </w:p>
    <w:p w:rsidR="00D57036" w:rsidRDefault="00D57036" w:rsidP="00D57036">
      <w:r>
        <w:rPr>
          <w:rFonts w:hint="eastAsia"/>
        </w:rPr>
        <w:t>净利润环比增长率</w:t>
      </w:r>
      <w:r>
        <w:t xml:space="preserve">(%)(单季度) : </w:t>
      </w:r>
      <w:proofErr w:type="spellStart"/>
      <w:r>
        <w:t>q_profit_qoq</w:t>
      </w:r>
      <w:proofErr w:type="spellEnd"/>
    </w:p>
    <w:p w:rsidR="00D57036" w:rsidRDefault="00D57036" w:rsidP="00D57036">
      <w:r>
        <w:rPr>
          <w:rFonts w:hint="eastAsia"/>
        </w:rPr>
        <w:t>归属母公司股东的净利润同比增长率</w:t>
      </w:r>
      <w:r>
        <w:t xml:space="preserve">(%)(单季度): </w:t>
      </w:r>
      <w:proofErr w:type="spellStart"/>
      <w:r>
        <w:t>q_netprofit_yoy</w:t>
      </w:r>
      <w:proofErr w:type="spellEnd"/>
    </w:p>
    <w:p w:rsidR="00D57036" w:rsidRDefault="00D57036" w:rsidP="00D57036">
      <w:r>
        <w:rPr>
          <w:rFonts w:hint="eastAsia"/>
        </w:rPr>
        <w:t>归属母公司股东的净利润环比增长率</w:t>
      </w:r>
      <w:r>
        <w:t xml:space="preserve">(%)(单季度) : </w:t>
      </w:r>
      <w:proofErr w:type="spellStart"/>
      <w:r>
        <w:t>q_netprofit_qoq</w:t>
      </w:r>
      <w:proofErr w:type="spellEnd"/>
    </w:p>
    <w:p w:rsidR="00D57036" w:rsidRDefault="00D57036" w:rsidP="00D57036">
      <w:r>
        <w:rPr>
          <w:rFonts w:hint="eastAsia"/>
        </w:rPr>
        <w:t>销售毛利率</w:t>
      </w:r>
      <w:r>
        <w:t xml:space="preserve">: </w:t>
      </w:r>
      <w:proofErr w:type="spellStart"/>
      <w:r>
        <w:t>grossprofit_margin</w:t>
      </w:r>
      <w:proofErr w:type="spellEnd"/>
    </w:p>
    <w:p w:rsidR="00D57036" w:rsidRDefault="00D57036" w:rsidP="00D57036">
      <w:r>
        <w:rPr>
          <w:rFonts w:hint="eastAsia"/>
        </w:rPr>
        <w:t>销售毛利率</w:t>
      </w:r>
      <w:r>
        <w:t xml:space="preserve">(单季度) : </w:t>
      </w:r>
      <w:proofErr w:type="spellStart"/>
      <w:r>
        <w:t>q_gsprofit_margin</w:t>
      </w:r>
      <w:proofErr w:type="spellEnd"/>
    </w:p>
    <w:p w:rsidR="00D57036" w:rsidRDefault="00D57036" w:rsidP="00D57036">
      <w:r>
        <w:rPr>
          <w:rFonts w:hint="eastAsia"/>
        </w:rPr>
        <w:t>营业收入同比增长率</w:t>
      </w:r>
      <w:r>
        <w:t xml:space="preserve">(%)： </w:t>
      </w:r>
      <w:proofErr w:type="spellStart"/>
      <w:r>
        <w:t>or_yoy</w:t>
      </w:r>
      <w:proofErr w:type="spellEnd"/>
    </w:p>
    <w:p w:rsidR="00D57036" w:rsidRDefault="00D57036" w:rsidP="00D57036">
      <w:r>
        <w:rPr>
          <w:rFonts w:hint="eastAsia"/>
        </w:rPr>
        <w:t>营业收入同比增长率</w:t>
      </w:r>
      <w:r>
        <w:t xml:space="preserve">(%)(单季度) ： </w:t>
      </w:r>
      <w:proofErr w:type="spellStart"/>
      <w:r>
        <w:t>q_sales_yoy</w:t>
      </w:r>
      <w:proofErr w:type="spellEnd"/>
    </w:p>
    <w:p w:rsidR="00D57036" w:rsidRDefault="00D57036" w:rsidP="00D57036"/>
    <w:p w:rsidR="00D57036" w:rsidRDefault="00D57036" w:rsidP="00D57036">
      <w:pPr>
        <w:pStyle w:val="Heading2"/>
      </w:pPr>
      <w:r>
        <w:rPr>
          <w:rFonts w:hint="eastAsia"/>
        </w:rPr>
        <w:t>个股资金流向</w:t>
      </w:r>
    </w:p>
    <w:p w:rsidR="00D57036" w:rsidRDefault="00D57036" w:rsidP="00D57036">
      <w:r>
        <w:rPr>
          <w:rFonts w:hint="eastAsia"/>
        </w:rPr>
        <w:t>接口：</w:t>
      </w:r>
      <w:proofErr w:type="spellStart"/>
      <w:r>
        <w:t>moneyflow</w:t>
      </w:r>
      <w:proofErr w:type="spellEnd"/>
    </w:p>
    <w:p w:rsidR="00D57036" w:rsidRDefault="00D57036" w:rsidP="00D57036">
      <w:r>
        <w:rPr>
          <w:rFonts w:hint="eastAsia"/>
        </w:rPr>
        <w:t>描述：获取沪深</w:t>
      </w:r>
      <w:r>
        <w:t>A股票资金流向数据，分析大单小单成交情况，用于判别资金动向</w:t>
      </w:r>
    </w:p>
    <w:p w:rsidR="00D57036" w:rsidRDefault="00D57036" w:rsidP="00D57036">
      <w:proofErr w:type="spellStart"/>
      <w:r>
        <w:t>net_mf_vol</w:t>
      </w:r>
      <w:proofErr w:type="spellEnd"/>
      <w:r>
        <w:tab/>
      </w:r>
      <w:proofErr w:type="spellStart"/>
      <w:r>
        <w:t>int</w:t>
      </w:r>
      <w:proofErr w:type="spellEnd"/>
      <w:r>
        <w:tab/>
        <w:t>Y</w:t>
      </w:r>
      <w:r>
        <w:tab/>
        <w:t>净流入量（手）</w:t>
      </w:r>
    </w:p>
    <w:p w:rsidR="00D57036" w:rsidRDefault="00D57036" w:rsidP="00D57036">
      <w:proofErr w:type="spellStart"/>
      <w:r>
        <w:t>net_mf_amount</w:t>
      </w:r>
      <w:proofErr w:type="spellEnd"/>
      <w:r>
        <w:tab/>
        <w:t>float</w:t>
      </w:r>
      <w:r>
        <w:tab/>
        <w:t>Y</w:t>
      </w:r>
      <w:r>
        <w:tab/>
        <w:t>净流入额（万元）</w:t>
      </w:r>
    </w:p>
    <w:p w:rsidR="00D57036" w:rsidRDefault="00D57036" w:rsidP="00D57036"/>
    <w:p w:rsidR="00D57036" w:rsidRDefault="00D57036" w:rsidP="00D57036"/>
    <w:p w:rsidR="00D57036" w:rsidRPr="00D57036" w:rsidRDefault="00D57036" w:rsidP="00D57036"/>
    <w:p w:rsidR="00D57036" w:rsidRPr="00FD2E76" w:rsidRDefault="00D57036" w:rsidP="00D57036"/>
    <w:p w:rsidR="00D57036" w:rsidRDefault="00FF2512" w:rsidP="00E60993">
      <w:pPr>
        <w:pStyle w:val="Heading1"/>
      </w:pPr>
      <w:r>
        <w:rPr>
          <w:rFonts w:hint="eastAsia"/>
        </w:rPr>
        <w:lastRenderedPageBreak/>
        <w:t>ROADMAP</w:t>
      </w:r>
    </w:p>
    <w:p w:rsidR="00D57036" w:rsidRDefault="00D57036" w:rsidP="00454AEA">
      <w:pPr>
        <w:pStyle w:val="Heading2"/>
      </w:pPr>
      <w:r>
        <w:rPr>
          <w:rFonts w:hint="eastAsia"/>
        </w:rPr>
        <w:t>数据源：</w:t>
      </w:r>
    </w:p>
    <w:p w:rsidR="00D57036" w:rsidRDefault="00D57036" w:rsidP="00BC25FC">
      <w:pPr>
        <w:pStyle w:val="ListParagraph"/>
        <w:numPr>
          <w:ilvl w:val="0"/>
          <w:numId w:val="1"/>
        </w:numPr>
        <w:ind w:firstLineChars="0"/>
      </w:pPr>
      <w:r>
        <w:t>行情数据</w:t>
      </w:r>
    </w:p>
    <w:p w:rsidR="00D57036" w:rsidRDefault="00D57036" w:rsidP="00BC25FC">
      <w:pPr>
        <w:pStyle w:val="ListParagraph"/>
        <w:numPr>
          <w:ilvl w:val="0"/>
          <w:numId w:val="1"/>
        </w:numPr>
        <w:ind w:firstLineChars="0"/>
      </w:pPr>
      <w:r>
        <w:t>财务报表数据</w:t>
      </w:r>
    </w:p>
    <w:p w:rsidR="00D57036" w:rsidRDefault="00D57036" w:rsidP="00D57036"/>
    <w:p w:rsidR="00D57036" w:rsidRPr="00BC25FC" w:rsidRDefault="00D57036" w:rsidP="00BC25FC">
      <w:pPr>
        <w:pStyle w:val="Heading2"/>
      </w:pPr>
      <w:r w:rsidRPr="00BC25FC">
        <w:rPr>
          <w:rFonts w:hint="eastAsia"/>
        </w:rPr>
        <w:t>量化选股与量化择时</w:t>
      </w:r>
    </w:p>
    <w:p w:rsidR="00D57036" w:rsidRDefault="00D57036" w:rsidP="00BC25FC">
      <w:pPr>
        <w:pStyle w:val="ListParagraph"/>
        <w:numPr>
          <w:ilvl w:val="0"/>
          <w:numId w:val="3"/>
        </w:numPr>
        <w:ind w:firstLineChars="0"/>
      </w:pPr>
      <w:r>
        <w:t>基本面</w:t>
      </w:r>
      <w:r w:rsidR="00BC25FC">
        <w:rPr>
          <w:rFonts w:hint="eastAsia"/>
        </w:rPr>
        <w:t xml:space="preserve"> （选股）</w:t>
      </w:r>
    </w:p>
    <w:p w:rsidR="00D57036" w:rsidRDefault="00D57036" w:rsidP="00BC25FC">
      <w:pPr>
        <w:pStyle w:val="ListParagraph"/>
        <w:numPr>
          <w:ilvl w:val="0"/>
          <w:numId w:val="3"/>
        </w:numPr>
        <w:ind w:firstLineChars="0"/>
      </w:pPr>
      <w:r>
        <w:t>技术面</w:t>
      </w:r>
      <w:r w:rsidR="00ED10A1">
        <w:rPr>
          <w:rFonts w:hint="eastAsia"/>
        </w:rPr>
        <w:t xml:space="preserve"> </w:t>
      </w:r>
      <w:r w:rsidR="00BC25FC">
        <w:rPr>
          <w:rFonts w:hint="eastAsia"/>
        </w:rPr>
        <w:t>（择时）</w:t>
      </w:r>
    </w:p>
    <w:p w:rsidR="005A173E" w:rsidRDefault="00B75A89" w:rsidP="00B75A89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基本面评分系统</w:t>
      </w:r>
    </w:p>
    <w:p w:rsidR="005A173E" w:rsidRDefault="005A173E" w:rsidP="005A173E">
      <w:r>
        <w:rPr>
          <w:rFonts w:hint="eastAsia"/>
        </w:rPr>
        <w:t>上市公司的财务风险，例如股权质押率，负债率等等</w:t>
      </w:r>
    </w:p>
    <w:p w:rsidR="005A173E" w:rsidRDefault="005A173E" w:rsidP="005A173E">
      <w:r>
        <w:rPr>
          <w:rFonts w:hint="eastAsia"/>
        </w:rPr>
        <w:t>每股收益、每股净资</w:t>
      </w:r>
      <w:r w:rsidR="00285384">
        <w:rPr>
          <w:rFonts w:hint="eastAsia"/>
        </w:rPr>
        <w:t>产值、净资产收益率、净利润增长率、主营业务收入增长率和市盈率等</w:t>
      </w:r>
    </w:p>
    <w:p w:rsidR="00F527B4" w:rsidRDefault="005A173E" w:rsidP="005A173E">
      <w:r>
        <w:rPr>
          <w:rFonts w:hint="eastAsia"/>
        </w:rPr>
        <w:t>根据连续三年的</w:t>
      </w:r>
      <w:r>
        <w:t>ROE（净资产收益率）、净利润增长率、毛利率水平，选出最为优秀的白马股</w:t>
      </w:r>
    </w:p>
    <w:p w:rsidR="005A173E" w:rsidRDefault="00B75A89" w:rsidP="00B75A89">
      <w:pPr>
        <w:pStyle w:val="ListParagraph"/>
        <w:numPr>
          <w:ilvl w:val="0"/>
          <w:numId w:val="7"/>
        </w:numPr>
        <w:ind w:firstLineChars="0"/>
      </w:pPr>
      <w:r>
        <w:rPr>
          <w:rFonts w:hint="eastAsia"/>
        </w:rPr>
        <w:t>估值系统</w:t>
      </w:r>
    </w:p>
    <w:p w:rsidR="005A173E" w:rsidRDefault="005A173E" w:rsidP="005A173E">
      <w:r>
        <w:rPr>
          <w:rFonts w:hint="eastAsia"/>
        </w:rPr>
        <w:t>不同的行业估值比较不同，</w:t>
      </w:r>
      <w:r>
        <w:t>PE、PB、PS等指标适应不同的行业</w:t>
      </w:r>
    </w:p>
    <w:p w:rsidR="005A173E" w:rsidRDefault="005A173E" w:rsidP="005A173E">
      <w:r>
        <w:rPr>
          <w:rFonts w:hint="eastAsia"/>
        </w:rPr>
        <w:t>例如</w:t>
      </w:r>
      <w:r>
        <w:t>PEG会适合于新兴的高成长行业，而PE不太适合于周期性行业</w:t>
      </w:r>
    </w:p>
    <w:p w:rsidR="00D57036" w:rsidRDefault="005A173E" w:rsidP="00D57036">
      <w:r>
        <w:rPr>
          <w:rFonts w:hint="eastAsia"/>
        </w:rPr>
        <w:t>而</w:t>
      </w:r>
      <w:r>
        <w:t>PB对于重资产行业有效，不太适应轻资产的行业（例如软件开发行业）</w:t>
      </w:r>
    </w:p>
    <w:p w:rsidR="00D57036" w:rsidRDefault="008C66BB" w:rsidP="005443C0">
      <w:pPr>
        <w:pStyle w:val="Heading2"/>
      </w:pPr>
      <w:r>
        <w:rPr>
          <w:rFonts w:hint="eastAsia"/>
        </w:rPr>
        <w:t>买卖点提示</w:t>
      </w:r>
    </w:p>
    <w:p w:rsidR="00D57036" w:rsidRDefault="00D57036" w:rsidP="005443C0">
      <w:pPr>
        <w:pStyle w:val="ListParagraph"/>
        <w:numPr>
          <w:ilvl w:val="0"/>
          <w:numId w:val="5"/>
        </w:numPr>
        <w:ind w:firstLineChars="0"/>
      </w:pPr>
      <w:r>
        <w:t>出现买卖点微信提示</w:t>
      </w:r>
    </w:p>
    <w:p w:rsidR="00D57036" w:rsidRDefault="00D57036" w:rsidP="005443C0">
      <w:pPr>
        <w:pStyle w:val="ListParagraph"/>
        <w:numPr>
          <w:ilvl w:val="0"/>
          <w:numId w:val="5"/>
        </w:numPr>
        <w:ind w:firstLineChars="0"/>
      </w:pPr>
      <w:r>
        <w:t>券商接口打通</w:t>
      </w:r>
    </w:p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0847A3" w:rsidRDefault="000847A3" w:rsidP="000847A3"/>
    <w:p w:rsidR="00FD2E76" w:rsidRDefault="00FD2E76" w:rsidP="00FD2E76">
      <w:pPr>
        <w:pStyle w:val="Heading1"/>
      </w:pPr>
      <w:r>
        <w:lastRenderedPageBreak/>
        <w:t>STRATEGY</w:t>
      </w:r>
    </w:p>
    <w:p w:rsidR="00FD2E76" w:rsidRPr="00311B4D" w:rsidRDefault="00FD2E76" w:rsidP="00FD2E76">
      <w:pPr>
        <w:rPr>
          <w:b/>
          <w:color w:val="FF0000"/>
          <w:sz w:val="28"/>
          <w:szCs w:val="28"/>
        </w:rPr>
      </w:pPr>
      <w:r w:rsidRPr="00311B4D">
        <w:rPr>
          <w:rFonts w:hint="eastAsia"/>
          <w:b/>
          <w:color w:val="FF0000"/>
          <w:sz w:val="28"/>
          <w:szCs w:val="28"/>
        </w:rPr>
        <w:t>买入标的 =</w:t>
      </w:r>
      <w:r w:rsidRPr="00311B4D">
        <w:rPr>
          <w:b/>
          <w:color w:val="FF0000"/>
          <w:sz w:val="28"/>
          <w:szCs w:val="28"/>
        </w:rPr>
        <w:t xml:space="preserve"> </w:t>
      </w:r>
      <w:r w:rsidRPr="00311B4D">
        <w:rPr>
          <w:rFonts w:hint="eastAsia"/>
          <w:b/>
          <w:color w:val="FF0000"/>
          <w:sz w:val="28"/>
          <w:szCs w:val="28"/>
        </w:rPr>
        <w:t>好行业</w:t>
      </w:r>
      <w:r w:rsidRPr="00311B4D">
        <w:rPr>
          <w:b/>
          <w:color w:val="FF0000"/>
          <w:sz w:val="28"/>
          <w:szCs w:val="28"/>
        </w:rPr>
        <w:t>+公司核心竞争力+合理估值+风险因素</w:t>
      </w:r>
    </w:p>
    <w:p w:rsidR="00FD2E76" w:rsidRDefault="00FD2E76" w:rsidP="00FD2E76"/>
    <w:p w:rsidR="00FD2E76" w:rsidRPr="009247CB" w:rsidRDefault="00FD2E76" w:rsidP="009247CB">
      <w:pPr>
        <w:pStyle w:val="Heading2"/>
      </w:pPr>
      <w:r w:rsidRPr="009247CB">
        <w:rPr>
          <w:rFonts w:hint="eastAsia"/>
        </w:rPr>
        <w:t>核心竞争力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市场占有率（招股说明书）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主营收入增长率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销售毛利率</w:t>
      </w:r>
    </w:p>
    <w:p w:rsidR="00FD2E76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净利率</w:t>
      </w:r>
    </w:p>
    <w:p w:rsidR="00FD2E76" w:rsidRPr="004B5001" w:rsidRDefault="00FD2E76" w:rsidP="00A263BC">
      <w:pPr>
        <w:pStyle w:val="ListParagraph"/>
        <w:numPr>
          <w:ilvl w:val="0"/>
          <w:numId w:val="8"/>
        </w:numPr>
        <w:ind w:firstLineChars="0"/>
      </w:pPr>
      <w:r>
        <w:t>净资产收益率   ROE五年平稳，至少&gt;10%， 最好大于20%</w:t>
      </w:r>
    </w:p>
    <w:p w:rsidR="00FD2E76" w:rsidRDefault="009247CB" w:rsidP="009247CB">
      <w:pPr>
        <w:pStyle w:val="Heading2"/>
      </w:pPr>
      <w:r>
        <w:rPr>
          <w:rFonts w:hint="eastAsia"/>
        </w:rPr>
        <w:t>重仓参与三不原则</w:t>
      </w:r>
    </w:p>
    <w:p w:rsidR="001D5877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大环境不好不参与</w:t>
      </w:r>
    </w:p>
    <w:p w:rsidR="001D5877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没量不买</w:t>
      </w:r>
    </w:p>
    <w:p w:rsidR="00FD2E76" w:rsidRDefault="00FD2E76" w:rsidP="00A263BC">
      <w:pPr>
        <w:pStyle w:val="ListParagraph"/>
        <w:numPr>
          <w:ilvl w:val="0"/>
          <w:numId w:val="10"/>
        </w:numPr>
        <w:ind w:firstLineChars="0"/>
      </w:pPr>
      <w:r>
        <w:t>追高不买</w:t>
      </w:r>
    </w:p>
    <w:p w:rsidR="00FD2E76" w:rsidRDefault="004B5001" w:rsidP="00403C52">
      <w:pPr>
        <w:pStyle w:val="Heading2"/>
      </w:pPr>
      <w:r>
        <w:rPr>
          <w:rFonts w:hint="eastAsia"/>
        </w:rPr>
        <w:t>策略核心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判断大格局，决定仓位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热点题材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活跃个股 （换手率，成交量，合理的价格）</w:t>
      </w:r>
    </w:p>
    <w:p w:rsidR="00FD2E76" w:rsidRDefault="00FD2E76" w:rsidP="00A263BC">
      <w:pPr>
        <w:pStyle w:val="ListParagraph"/>
        <w:numPr>
          <w:ilvl w:val="0"/>
          <w:numId w:val="12"/>
        </w:numPr>
        <w:ind w:firstLineChars="0"/>
      </w:pPr>
      <w:r>
        <w:t>20日均线之上</w:t>
      </w:r>
    </w:p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B84948" w:rsidRDefault="00B84948" w:rsidP="00B84948"/>
    <w:p w:rsidR="00D57036" w:rsidRDefault="009F53A2" w:rsidP="009F53A2">
      <w:pPr>
        <w:pStyle w:val="Heading2"/>
      </w:pPr>
      <w:r>
        <w:rPr>
          <w:rFonts w:hint="eastAsia"/>
        </w:rPr>
        <w:lastRenderedPageBreak/>
        <w:t>价格形态策略</w:t>
      </w:r>
    </w:p>
    <w:p w:rsidR="009F53A2" w:rsidRPr="009F53A2" w:rsidRDefault="009F53A2" w:rsidP="00E640F5">
      <w:pPr>
        <w:pStyle w:val="ListParagraph"/>
        <w:numPr>
          <w:ilvl w:val="0"/>
          <w:numId w:val="16"/>
        </w:numPr>
        <w:ind w:firstLineChars="0"/>
      </w:pPr>
      <w:r w:rsidRPr="009F53A2">
        <w:rPr>
          <w:rFonts w:hint="eastAsia"/>
        </w:rPr>
        <w:t>今日最高价&gt;昨日最高价, 今日最低价 &gt; 昨日最低价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昨日最高价&lt;前日最高价, 昨日最低价 &lt; 前日最低价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前日最高价&lt;大前日最高价, 前日最低价 &lt; 大前日最低价</w:t>
      </w:r>
    </w:p>
    <w:p w:rsidR="0089750B" w:rsidRP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今日涨幅小于4%</w:t>
      </w:r>
      <w:r w:rsidR="00595E77">
        <w:rPr>
          <w:rFonts w:hint="eastAsia"/>
        </w:rPr>
        <w:t>（只能比4%更小，</w:t>
      </w:r>
      <w:r w:rsidR="00A35B6A">
        <w:rPr>
          <w:rFonts w:hint="eastAsia"/>
        </w:rPr>
        <w:t>如果是下跌则跌幅不能大</w:t>
      </w:r>
      <w:r w:rsidR="00595E77">
        <w:rPr>
          <w:rFonts w:hint="eastAsia"/>
        </w:rPr>
        <w:t>）</w:t>
      </w:r>
    </w:p>
    <w:p w:rsidR="0089750B" w:rsidRDefault="0089750B" w:rsidP="00E640F5">
      <w:pPr>
        <w:pStyle w:val="ListParagraph"/>
        <w:numPr>
          <w:ilvl w:val="0"/>
          <w:numId w:val="16"/>
        </w:numPr>
        <w:ind w:firstLineChars="0"/>
      </w:pPr>
      <w:r w:rsidRPr="0089750B">
        <w:rPr>
          <w:rFonts w:hint="eastAsia"/>
        </w:rPr>
        <w:t>今日最低价小于昨日收盘价， 避免跳空</w:t>
      </w:r>
      <w:r w:rsidR="00480099">
        <w:rPr>
          <w:rFonts w:hint="eastAsia"/>
        </w:rPr>
        <w:t>缺口</w:t>
      </w:r>
    </w:p>
    <w:p w:rsidR="00F21DC9" w:rsidRDefault="00F21DC9" w:rsidP="00E640F5">
      <w:pPr>
        <w:pStyle w:val="ListParagraph"/>
        <w:numPr>
          <w:ilvl w:val="0"/>
          <w:numId w:val="16"/>
        </w:numPr>
        <w:ind w:firstLineChars="0"/>
      </w:pPr>
      <w:r>
        <w:rPr>
          <w:rFonts w:hint="eastAsia"/>
        </w:rPr>
        <w:t>今日收盘价&gt;20日均线</w:t>
      </w:r>
      <w:r w:rsidR="00D200C6">
        <w:rPr>
          <w:rFonts w:hint="eastAsia"/>
        </w:rPr>
        <w:t>（形态上处于回踩20日均线状态）</w:t>
      </w:r>
    </w:p>
    <w:p w:rsidR="00D754B5" w:rsidRPr="0089750B" w:rsidRDefault="00D754B5" w:rsidP="00D754B5"/>
    <w:p w:rsidR="009F53A2" w:rsidRDefault="009A2C3A" w:rsidP="009F53A2">
      <w:r>
        <w:rPr>
          <w:rFonts w:hint="eastAsia"/>
        </w:rPr>
        <w:t>筛选出的结果再筛选</w:t>
      </w:r>
    </w:p>
    <w:p w:rsidR="009A2C3A" w:rsidRDefault="009A2C3A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处于上升趋势</w:t>
      </w:r>
      <w:r w:rsidR="001B4F11">
        <w:rPr>
          <w:rFonts w:hint="eastAsia"/>
        </w:rPr>
        <w:t>， 最好处于各均线之上</w:t>
      </w:r>
      <w:r w:rsidR="000C4F30">
        <w:rPr>
          <w:rFonts w:hint="eastAsia"/>
        </w:rPr>
        <w:t>，</w:t>
      </w:r>
      <w:r w:rsidR="00E02C54">
        <w:rPr>
          <w:rFonts w:hint="eastAsia"/>
        </w:rPr>
        <w:t>今日</w:t>
      </w:r>
      <w:r w:rsidR="000C4F30">
        <w:rPr>
          <w:rFonts w:hint="eastAsia"/>
        </w:rPr>
        <w:t>最最高价不能是近期高点</w:t>
      </w:r>
    </w:p>
    <w:p w:rsidR="009A2C3A" w:rsidRDefault="002D3F3A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第二天开盘</w:t>
      </w:r>
      <w:r w:rsidR="009A2C3A">
        <w:rPr>
          <w:rFonts w:hint="eastAsia"/>
        </w:rPr>
        <w:t>量比，</w:t>
      </w:r>
      <w:r>
        <w:rPr>
          <w:rFonts w:hint="eastAsia"/>
        </w:rPr>
        <w:t>不能太小，至少4以上，</w:t>
      </w:r>
      <w:r w:rsidR="009A2C3A">
        <w:rPr>
          <w:rFonts w:hint="eastAsia"/>
        </w:rPr>
        <w:t>不能</w:t>
      </w:r>
      <w:r w:rsidR="00265C1C">
        <w:rPr>
          <w:rFonts w:hint="eastAsia"/>
        </w:rPr>
        <w:t>大幅</w:t>
      </w:r>
      <w:r w:rsidR="009A2C3A">
        <w:rPr>
          <w:rFonts w:hint="eastAsia"/>
        </w:rPr>
        <w:t>高开，最好低于昨日收盘价开盘</w:t>
      </w:r>
      <w:r w:rsidR="0069654F">
        <w:rPr>
          <w:rFonts w:hint="eastAsia"/>
        </w:rPr>
        <w:t>，若开盘迅速拉升，则等9点50左右是否出现回调低点</w:t>
      </w:r>
      <w:r w:rsidR="00C93FD6">
        <w:rPr>
          <w:rFonts w:hint="eastAsia"/>
        </w:rPr>
        <w:t>，若在均线附近或昨日开盘价附件止跌， 则买入</w:t>
      </w:r>
    </w:p>
    <w:p w:rsidR="0069654F" w:rsidRDefault="0069654F" w:rsidP="009A2C3A">
      <w:pPr>
        <w:pStyle w:val="ListParagraph"/>
        <w:numPr>
          <w:ilvl w:val="0"/>
          <w:numId w:val="17"/>
        </w:numPr>
        <w:ind w:firstLineChars="0"/>
      </w:pPr>
      <w:r>
        <w:rPr>
          <w:rFonts w:hint="eastAsia"/>
        </w:rPr>
        <w:t>盘中结合大盘， 是否不惧大盘下调而保持上升态势</w:t>
      </w:r>
      <w:r w:rsidR="002D3F3A">
        <w:rPr>
          <w:rFonts w:hint="eastAsia"/>
        </w:rPr>
        <w:t>，若大盘杀跌，个股只是小幅度回调，一旦大盘企稳，个股将快速上攻</w:t>
      </w:r>
    </w:p>
    <w:p w:rsidR="004D53EA" w:rsidRDefault="004D53EA" w:rsidP="004D53EA">
      <w:pPr>
        <w:pStyle w:val="ListParagraph"/>
        <w:ind w:left="360" w:firstLineChars="0" w:firstLine="0"/>
      </w:pPr>
    </w:p>
    <w:p w:rsidR="004D53EA" w:rsidRDefault="004D53EA" w:rsidP="004D53EA">
      <w:r>
        <w:rPr>
          <w:rFonts w:hint="eastAsia"/>
        </w:rPr>
        <w:t>实例：</w:t>
      </w:r>
    </w:p>
    <w:p w:rsidR="004D53EA" w:rsidRDefault="004D53EA" w:rsidP="004D53EA">
      <w:pPr>
        <w:rPr>
          <w:rFonts w:hint="eastAsia"/>
        </w:rPr>
      </w:pPr>
      <w:r>
        <w:rPr>
          <w:rFonts w:hint="eastAsia"/>
        </w:rPr>
        <w:t xml:space="preserve">002697，红旗连锁， </w:t>
      </w:r>
      <w:r>
        <w:t>2019年10月30日星期三</w:t>
      </w:r>
      <w:r w:rsidR="00C94634">
        <w:rPr>
          <w:rFonts w:hint="eastAsia"/>
        </w:rPr>
        <w:t>，</w:t>
      </w:r>
      <w:r w:rsidR="00C94634">
        <w:t>2019年10月31日星期四</w:t>
      </w:r>
      <w:r w:rsidR="00C94634">
        <w:rPr>
          <w:rFonts w:hint="eastAsia"/>
        </w:rPr>
        <w:t>上午冲高</w:t>
      </w:r>
      <w:bookmarkStart w:id="0" w:name="_GoBack"/>
      <w:bookmarkEnd w:id="0"/>
    </w:p>
    <w:p w:rsidR="004D53EA" w:rsidRDefault="004D53EA" w:rsidP="000C4F30">
      <w:pPr>
        <w:rPr>
          <w:rFonts w:hint="eastAsia"/>
        </w:rPr>
      </w:pPr>
      <w:r>
        <w:rPr>
          <w:rFonts w:hint="eastAsia"/>
        </w:rPr>
        <w:t xml:space="preserve">300240  飞力达     </w:t>
      </w:r>
      <w:r>
        <w:t>2019年10月30日星期三</w:t>
      </w:r>
      <w:r w:rsidR="009F5C05">
        <w:rPr>
          <w:rFonts w:hint="eastAsia"/>
        </w:rPr>
        <w:t>，</w:t>
      </w:r>
      <w:r w:rsidR="009F5C05">
        <w:t>2019年10月31日星期四</w:t>
      </w:r>
      <w:r w:rsidR="009F5C05">
        <w:rPr>
          <w:rFonts w:hint="eastAsia"/>
        </w:rPr>
        <w:t>涨停</w:t>
      </w:r>
    </w:p>
    <w:p w:rsidR="00997FB9" w:rsidRDefault="00997FB9" w:rsidP="00997FB9"/>
    <w:p w:rsidR="0081771D" w:rsidRPr="0081771D" w:rsidRDefault="0081771D" w:rsidP="00997FB9">
      <w:r>
        <w:t>N</w:t>
      </w:r>
      <w:r>
        <w:rPr>
          <w:rFonts w:hint="eastAsia"/>
        </w:rPr>
        <w:t>ote</w:t>
      </w:r>
      <w:r>
        <w:t xml:space="preserve">: </w:t>
      </w:r>
      <w:r>
        <w:rPr>
          <w:rFonts w:hint="eastAsia"/>
        </w:rPr>
        <w:t>此策略不适合某个行业公布</w:t>
      </w:r>
      <w:r w:rsidR="00344673">
        <w:rPr>
          <w:rFonts w:hint="eastAsia"/>
        </w:rPr>
        <w:t>特</w:t>
      </w:r>
      <w:r w:rsidR="00836AF4">
        <w:rPr>
          <w:rFonts w:hint="eastAsia"/>
        </w:rPr>
        <w:t>大利好的交易日，如</w:t>
      </w:r>
      <w:r>
        <w:rPr>
          <w:rFonts w:hint="eastAsia"/>
        </w:rPr>
        <w:t>2019年10月27日大领导宣布重点发展区块链技术， 2019年10月28日100多只区块链概念</w:t>
      </w:r>
      <w:r w:rsidR="00836AF4">
        <w:rPr>
          <w:rFonts w:hint="eastAsia"/>
        </w:rPr>
        <w:t>集体</w:t>
      </w:r>
      <w:r>
        <w:rPr>
          <w:rFonts w:hint="eastAsia"/>
        </w:rPr>
        <w:t>涨停</w:t>
      </w:r>
    </w:p>
    <w:p w:rsidR="00334A73" w:rsidRPr="004D53EA" w:rsidRDefault="00334A73" w:rsidP="00334A73"/>
    <w:sectPr w:rsidR="00334A73" w:rsidRPr="004D53EA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92A39"/>
    <w:multiLevelType w:val="hybridMultilevel"/>
    <w:tmpl w:val="F0BC03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D64C40"/>
    <w:multiLevelType w:val="hybridMultilevel"/>
    <w:tmpl w:val="07F6D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A615FA4"/>
    <w:multiLevelType w:val="hybridMultilevel"/>
    <w:tmpl w:val="F48AD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41051F9"/>
    <w:multiLevelType w:val="hybridMultilevel"/>
    <w:tmpl w:val="AE486CE0"/>
    <w:lvl w:ilvl="0" w:tplc="FC6C4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060863"/>
    <w:multiLevelType w:val="hybridMultilevel"/>
    <w:tmpl w:val="BB44BC5E"/>
    <w:lvl w:ilvl="0" w:tplc="78886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E0F46"/>
    <w:multiLevelType w:val="hybridMultilevel"/>
    <w:tmpl w:val="90D0FC1E"/>
    <w:lvl w:ilvl="0" w:tplc="611A8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A56AF"/>
    <w:multiLevelType w:val="hybridMultilevel"/>
    <w:tmpl w:val="8788EC9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66C047A"/>
    <w:multiLevelType w:val="hybridMultilevel"/>
    <w:tmpl w:val="F320B5DE"/>
    <w:lvl w:ilvl="0" w:tplc="2632D9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E7A7707"/>
    <w:multiLevelType w:val="hybridMultilevel"/>
    <w:tmpl w:val="35F2FF06"/>
    <w:lvl w:ilvl="0" w:tplc="FF3E73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AB49E1"/>
    <w:multiLevelType w:val="hybridMultilevel"/>
    <w:tmpl w:val="E1ECAAFE"/>
    <w:lvl w:ilvl="0" w:tplc="A00215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94A27FC"/>
    <w:multiLevelType w:val="hybridMultilevel"/>
    <w:tmpl w:val="6CCC30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B8E0F79"/>
    <w:multiLevelType w:val="hybridMultilevel"/>
    <w:tmpl w:val="85348B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BE40AC4"/>
    <w:multiLevelType w:val="hybridMultilevel"/>
    <w:tmpl w:val="46569F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2540D57"/>
    <w:multiLevelType w:val="hybridMultilevel"/>
    <w:tmpl w:val="08A060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BC5994"/>
    <w:multiLevelType w:val="hybridMultilevel"/>
    <w:tmpl w:val="838041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B875648"/>
    <w:multiLevelType w:val="hybridMultilevel"/>
    <w:tmpl w:val="29D66242"/>
    <w:lvl w:ilvl="0" w:tplc="2B0015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CD1254"/>
    <w:multiLevelType w:val="hybridMultilevel"/>
    <w:tmpl w:val="BEFE9D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2"/>
  </w:num>
  <w:num w:numId="4">
    <w:abstractNumId w:val="9"/>
  </w:num>
  <w:num w:numId="5">
    <w:abstractNumId w:val="10"/>
  </w:num>
  <w:num w:numId="6">
    <w:abstractNumId w:val="8"/>
  </w:num>
  <w:num w:numId="7">
    <w:abstractNumId w:val="1"/>
  </w:num>
  <w:num w:numId="8">
    <w:abstractNumId w:val="16"/>
  </w:num>
  <w:num w:numId="9">
    <w:abstractNumId w:val="3"/>
  </w:num>
  <w:num w:numId="10">
    <w:abstractNumId w:val="11"/>
  </w:num>
  <w:num w:numId="11">
    <w:abstractNumId w:val="5"/>
  </w:num>
  <w:num w:numId="12">
    <w:abstractNumId w:val="0"/>
  </w:num>
  <w:num w:numId="13">
    <w:abstractNumId w:val="4"/>
  </w:num>
  <w:num w:numId="14">
    <w:abstractNumId w:val="13"/>
  </w:num>
  <w:num w:numId="15">
    <w:abstractNumId w:val="14"/>
  </w:num>
  <w:num w:numId="16">
    <w:abstractNumId w:val="6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F2"/>
    <w:rsid w:val="00014068"/>
    <w:rsid w:val="000407BF"/>
    <w:rsid w:val="000847A3"/>
    <w:rsid w:val="00091502"/>
    <w:rsid w:val="000A5317"/>
    <w:rsid w:val="000C4F30"/>
    <w:rsid w:val="000E059A"/>
    <w:rsid w:val="00155FE2"/>
    <w:rsid w:val="001A2E2D"/>
    <w:rsid w:val="001B4F11"/>
    <w:rsid w:val="001D5877"/>
    <w:rsid w:val="00265C1C"/>
    <w:rsid w:val="00285384"/>
    <w:rsid w:val="002D3F3A"/>
    <w:rsid w:val="002F2391"/>
    <w:rsid w:val="002F7377"/>
    <w:rsid w:val="00311B4D"/>
    <w:rsid w:val="00334A73"/>
    <w:rsid w:val="00344673"/>
    <w:rsid w:val="00397719"/>
    <w:rsid w:val="00403C52"/>
    <w:rsid w:val="00454AEA"/>
    <w:rsid w:val="00457444"/>
    <w:rsid w:val="00480099"/>
    <w:rsid w:val="004B5001"/>
    <w:rsid w:val="004D53EA"/>
    <w:rsid w:val="005443C0"/>
    <w:rsid w:val="00595E77"/>
    <w:rsid w:val="005A173E"/>
    <w:rsid w:val="005D0E29"/>
    <w:rsid w:val="005F65DC"/>
    <w:rsid w:val="006416F2"/>
    <w:rsid w:val="006641DA"/>
    <w:rsid w:val="0069654F"/>
    <w:rsid w:val="00727FEE"/>
    <w:rsid w:val="007417E4"/>
    <w:rsid w:val="00784538"/>
    <w:rsid w:val="00796CDB"/>
    <w:rsid w:val="0081771D"/>
    <w:rsid w:val="00836AF4"/>
    <w:rsid w:val="00836EE6"/>
    <w:rsid w:val="00850BFC"/>
    <w:rsid w:val="008567B2"/>
    <w:rsid w:val="0086565A"/>
    <w:rsid w:val="008751A6"/>
    <w:rsid w:val="00883533"/>
    <w:rsid w:val="0089750B"/>
    <w:rsid w:val="008C66BB"/>
    <w:rsid w:val="009247CB"/>
    <w:rsid w:val="009626C9"/>
    <w:rsid w:val="00997FB9"/>
    <w:rsid w:val="009A2C3A"/>
    <w:rsid w:val="009F53A2"/>
    <w:rsid w:val="009F5C05"/>
    <w:rsid w:val="00A263BC"/>
    <w:rsid w:val="00A35B6A"/>
    <w:rsid w:val="00B527CE"/>
    <w:rsid w:val="00B75A89"/>
    <w:rsid w:val="00B84948"/>
    <w:rsid w:val="00BC25FC"/>
    <w:rsid w:val="00BF3EB9"/>
    <w:rsid w:val="00C93FD6"/>
    <w:rsid w:val="00C94634"/>
    <w:rsid w:val="00CD284E"/>
    <w:rsid w:val="00CF1F4E"/>
    <w:rsid w:val="00D200C6"/>
    <w:rsid w:val="00D25545"/>
    <w:rsid w:val="00D27564"/>
    <w:rsid w:val="00D57036"/>
    <w:rsid w:val="00D754B5"/>
    <w:rsid w:val="00DD15AC"/>
    <w:rsid w:val="00E02C54"/>
    <w:rsid w:val="00E169F9"/>
    <w:rsid w:val="00E227A2"/>
    <w:rsid w:val="00E60993"/>
    <w:rsid w:val="00E640F5"/>
    <w:rsid w:val="00E71377"/>
    <w:rsid w:val="00ED10A1"/>
    <w:rsid w:val="00EF25E5"/>
    <w:rsid w:val="00F21DC9"/>
    <w:rsid w:val="00F527B4"/>
    <w:rsid w:val="00FB1E11"/>
    <w:rsid w:val="00FD2E76"/>
    <w:rsid w:val="00FF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8201"/>
  <w15:chartTrackingRefBased/>
  <w15:docId w15:val="{83BF959D-4124-4604-988C-878EB6F01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05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70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9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D570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BC25F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1E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E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Renzhong</dc:creator>
  <cp:keywords/>
  <dc:description/>
  <cp:lastModifiedBy>Wang, Renzhong</cp:lastModifiedBy>
  <cp:revision>77</cp:revision>
  <dcterms:created xsi:type="dcterms:W3CDTF">2019-10-30T03:05:00Z</dcterms:created>
  <dcterms:modified xsi:type="dcterms:W3CDTF">2019-10-31T05:52:00Z</dcterms:modified>
</cp:coreProperties>
</file>