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64"/>
      </w:pPr>
      <w:r>
        <w:rPr>
          <w:rFonts w:ascii="Calibri" w:cs="Calibri" w:eastAsia="Calibri" w:hAnsi="Calibri"/>
          <w:b/>
          <w:bCs/>
          <w:sz w:val="20"/>
          <w:szCs w:val="20"/>
        </w:rPr>
        <w:t xml:space="preserve">PRODUCT REQUIREMENTS DOCUMENT</w:t>
      </w:r>
    </w:p>
    <w:p>
      <w:pPr>
        <w:spacing w:after="120" w:line="264"/>
      </w:pPr>
      <w:r>
        <w:rPr>
          <w:rFonts w:ascii="Calibri" w:cs="Calibri" w:eastAsia="Calibri" w:hAnsi="Calibri"/>
          <w:b/>
          <w:bCs/>
          <w:sz w:val="56"/>
          <w:szCs w:val="56"/>
        </w:rPr>
        <w:t xml:space="preserve">Interlock</w:t>
      </w:r>
    </w:p>
    <w:p>
      <w:pPr>
        <w:spacing w:after="120" w:line="264"/>
      </w:pPr>
      <w:r>
        <w:rPr>
          <w:rFonts w:ascii="Calibri" w:cs="Calibri" w:eastAsia="Calibri" w:hAnsi="Calibri"/>
          <w:i/>
          <w:iCs/>
          <w:sz w:val="26"/>
          <w:szCs w:val="26"/>
        </w:rPr>
        <w:t xml:space="preserve">A Cross-Rail Recall and Return Operations System for US Banks</w:t>
      </w:r>
    </w:p>
    <w:p>
      <w:pPr>
        <w:spacing w:after="120" w:line="264"/>
      </w:pPr>
      <w:r>
        <w:rPr>
          <w:rFonts w:ascii="Calibri" w:cs="Calibri" w:eastAsia="Calibri" w:hAnsi="Calibri"/>
          <w:i/>
          <w:iCs/>
          <w:color w:val="666666"/>
          <w:sz w:val="21"/>
          <w:szCs w:val="21"/>
        </w:rPr>
        <w:t xml:space="preserve">Payments Fraud Infrastructure · Post-Settlement Recovery, Disposition and Compliance Evidence</w:t>
      </w:r>
    </w:p>
    <w:tbl>
      <w:tblPr>
        <w:tblW w:type="dxa" w:w="10080"/>
        <w:tblBorders>
          <w:top w:val="single" w:color="BBBBBB" w:sz="3"/>
          <w:left w:val="single" w:color="BBBBBB" w:sz="3"/>
          <w:bottom w:val="single" w:color="BBBBBB" w:sz="3"/>
          <w:right w:val="single" w:color="BBBBBB" w:sz="3"/>
          <w:insideH w:val="single" w:color="BBBBBB" w:sz="3"/>
          <w:insideV w:val="single" w:color="BBBBBB" w:sz="3"/>
        </w:tblBorders>
      </w:tblPr>
      <w:tblGrid>
        <w:gridCol w:w="1720"/>
        <w:gridCol w:w="8360"/>
      </w:tblGrid>
      <w:tr>
        <w:trPr>
          <w:cantSplit/>
          <w:tblHeader w:val="false"/>
        </w:trPr>
        <w:tc>
          <w:tcPr>
            <w:tcW w:type="dxa" w:w="1720"/>
            <w:tcMar>
              <w:top w:type="dxa" w:w="70"/>
              <w:left w:type="dxa" w:w="100"/>
              <w:bottom w:type="dxa" w:w="70"/>
              <w:right w:type="dxa" w:w="100"/>
            </w:tcMar>
          </w:tcPr>
          <w:p>
            <w:pPr>
              <w:spacing w:after="30" w:before="30" w:line="232"/>
            </w:pPr>
            <w:r>
              <w:rPr>
                <w:rFonts w:ascii="Calibri" w:cs="Calibri" w:eastAsia="Calibri" w:hAnsi="Calibri"/>
                <w:sz w:val="19"/>
                <w:szCs w:val="19"/>
              </w:rPr>
              <w:t xml:space="preserve">Authors</w:t>
            </w:r>
          </w:p>
        </w:tc>
        <w:tc>
          <w:tcPr>
            <w:tcW w:type="dxa" w:w="8360"/>
            <w:tcMar>
              <w:top w:type="dxa" w:w="70"/>
              <w:left w:type="dxa" w:w="100"/>
              <w:bottom w:type="dxa" w:w="70"/>
              <w:right w:type="dxa" w:w="100"/>
            </w:tcMar>
          </w:tcPr>
          <w:p>
            <w:pPr>
              <w:spacing w:after="30" w:before="30" w:line="232"/>
            </w:pPr>
            <w:r>
              <w:rPr>
                <w:rFonts w:ascii="Calibri" w:cs="Calibri" w:eastAsia="Calibri" w:hAnsi="Calibri"/>
                <w:sz w:val="19"/>
                <w:szCs w:val="19"/>
              </w:rPr>
              <w:t xml:space="preserve">Sai Prathap Reddy Cheluri &amp; Lekhashree Srinath Reddy</w:t>
            </w:r>
          </w:p>
        </w:tc>
      </w:tr>
      <w:tr>
        <w:trPr>
          <w:cantSplit/>
          <w:tblHeader w:val="false"/>
        </w:trPr>
        <w:tc>
          <w:tcPr>
            <w:tcW w:type="dxa" w:w="1720"/>
            <w:tcMar>
              <w:top w:type="dxa" w:w="70"/>
              <w:left w:type="dxa" w:w="100"/>
              <w:bottom w:type="dxa" w:w="70"/>
              <w:right w:type="dxa" w:w="100"/>
            </w:tcMar>
          </w:tcPr>
          <w:p>
            <w:pPr>
              <w:spacing w:after="30" w:before="30" w:line="232"/>
            </w:pPr>
            <w:r>
              <w:rPr>
                <w:rFonts w:ascii="Calibri" w:cs="Calibri" w:eastAsia="Calibri" w:hAnsi="Calibri"/>
                <w:sz w:val="19"/>
                <w:szCs w:val="19"/>
              </w:rPr>
              <w:t xml:space="preserve">Project type</w:t>
            </w:r>
          </w:p>
        </w:tc>
        <w:tc>
          <w:tcPr>
            <w:tcW w:type="dxa" w:w="8360"/>
            <w:tcMar>
              <w:top w:type="dxa" w:w="70"/>
              <w:left w:type="dxa" w:w="100"/>
              <w:bottom w:type="dxa" w:w="70"/>
              <w:right w:type="dxa" w:w="100"/>
            </w:tcMar>
          </w:tcPr>
          <w:p>
            <w:pPr>
              <w:spacing w:after="30" w:before="30" w:line="232"/>
            </w:pPr>
            <w:r>
              <w:rPr>
                <w:rFonts w:ascii="Calibri" w:cs="Calibri" w:eastAsia="Calibri" w:hAnsi="Calibri"/>
                <w:sz w:val="19"/>
                <w:szCs w:val="19"/>
              </w:rPr>
              <w:t xml:space="preserve">Two-person collaboration · joint product ownership</w:t>
            </w:r>
          </w:p>
        </w:tc>
      </w:tr>
      <w:tr>
        <w:trPr>
          <w:cantSplit/>
          <w:tblHeader w:val="false"/>
        </w:trPr>
        <w:tc>
          <w:tcPr>
            <w:tcW w:type="dxa" w:w="1720"/>
            <w:tcMar>
              <w:top w:type="dxa" w:w="70"/>
              <w:left w:type="dxa" w:w="100"/>
              <w:bottom w:type="dxa" w:w="70"/>
              <w:right w:type="dxa" w:w="100"/>
            </w:tcMar>
          </w:tcPr>
          <w:p>
            <w:pPr>
              <w:spacing w:after="30" w:before="30" w:line="232"/>
            </w:pPr>
            <w:r>
              <w:rPr>
                <w:rFonts w:ascii="Calibri" w:cs="Calibri" w:eastAsia="Calibri" w:hAnsi="Calibri"/>
                <w:sz w:val="19"/>
                <w:szCs w:val="19"/>
              </w:rPr>
              <w:t xml:space="preserve">Version</w:t>
            </w:r>
          </w:p>
        </w:tc>
        <w:tc>
          <w:tcPr>
            <w:tcW w:type="dxa" w:w="8360"/>
            <w:tcMar>
              <w:top w:type="dxa" w:w="70"/>
              <w:left w:type="dxa" w:w="100"/>
              <w:bottom w:type="dxa" w:w="70"/>
              <w:right w:type="dxa" w:w="100"/>
            </w:tcMar>
          </w:tcPr>
          <w:p>
            <w:pPr>
              <w:spacing w:after="30" w:before="30" w:line="232"/>
            </w:pPr>
            <w:r>
              <w:rPr>
                <w:rFonts w:ascii="Calibri" w:cs="Calibri" w:eastAsia="Calibri" w:hAnsi="Calibri"/>
                <w:sz w:val="19"/>
                <w:szCs w:val="19"/>
              </w:rPr>
              <w:t xml:space="preserve">v2.0 — final (supersedes v1.1; strategy rewrite, not an edit)</w:t>
            </w:r>
          </w:p>
        </w:tc>
      </w:tr>
      <w:tr>
        <w:trPr>
          <w:cantSplit/>
          <w:tblHeader w:val="false"/>
        </w:trPr>
        <w:tc>
          <w:tcPr>
            <w:tcW w:type="dxa" w:w="1720"/>
            <w:tcMar>
              <w:top w:type="dxa" w:w="70"/>
              <w:left w:type="dxa" w:w="100"/>
              <w:bottom w:type="dxa" w:w="70"/>
              <w:right w:type="dxa" w:w="100"/>
            </w:tcMar>
          </w:tcPr>
          <w:p>
            <w:pPr>
              <w:spacing w:after="30" w:before="30" w:line="232"/>
            </w:pPr>
            <w:r>
              <w:rPr>
                <w:rFonts w:ascii="Calibri" w:cs="Calibri" w:eastAsia="Calibri" w:hAnsi="Calibri"/>
                <w:sz w:val="19"/>
                <w:szCs w:val="19"/>
              </w:rPr>
              <w:t xml:space="preserve">Status</w:t>
            </w:r>
          </w:p>
        </w:tc>
        <w:tc>
          <w:tcPr>
            <w:tcW w:type="dxa" w:w="8360"/>
            <w:tcMar>
              <w:top w:type="dxa" w:w="70"/>
              <w:left w:type="dxa" w:w="100"/>
              <w:bottom w:type="dxa" w:w="70"/>
              <w:right w:type="dxa" w:w="100"/>
            </w:tcMar>
          </w:tcPr>
          <w:p>
            <w:pPr>
              <w:spacing w:after="30" w:before="30" w:line="232"/>
            </w:pPr>
            <w:r>
              <w:rPr>
                <w:rFonts w:ascii="Calibri" w:cs="Calibri" w:eastAsia="Calibri" w:hAnsi="Calibri"/>
                <w:sz w:val="19"/>
                <w:szCs w:val="19"/>
              </w:rPr>
              <w:t xml:space="preserve">Final for review · current build state in Section 14</w:t>
            </w:r>
          </w:p>
        </w:tc>
      </w:tr>
      <w:tr>
        <w:trPr>
          <w:cantSplit/>
          <w:tblHeader w:val="false"/>
        </w:trPr>
        <w:tc>
          <w:tcPr>
            <w:tcW w:type="dxa" w:w="1720"/>
            <w:tcMar>
              <w:top w:type="dxa" w:w="70"/>
              <w:left w:type="dxa" w:w="100"/>
              <w:bottom w:type="dxa" w:w="70"/>
              <w:right w:type="dxa" w:w="100"/>
            </w:tcMar>
          </w:tcPr>
          <w:p>
            <w:pPr>
              <w:spacing w:after="30" w:before="30" w:line="232"/>
            </w:pPr>
            <w:r>
              <w:rPr>
                <w:rFonts w:ascii="Calibri" w:cs="Calibri" w:eastAsia="Calibri" w:hAnsi="Calibri"/>
                <w:sz w:val="19"/>
                <w:szCs w:val="19"/>
              </w:rPr>
              <w:t xml:space="preserve">Stakeholders</w:t>
            </w:r>
          </w:p>
        </w:tc>
        <w:tc>
          <w:tcPr>
            <w:tcW w:type="dxa" w:w="8360"/>
            <w:tcMar>
              <w:top w:type="dxa" w:w="70"/>
              <w:left w:type="dxa" w:w="100"/>
              <w:bottom w:type="dxa" w:w="70"/>
              <w:right w:type="dxa" w:w="100"/>
            </w:tcMar>
          </w:tcPr>
          <w:p>
            <w:pPr>
              <w:spacing w:after="30" w:before="30" w:line="232"/>
            </w:pPr>
            <w:r>
              <w:rPr>
                <w:rFonts w:ascii="Calibri" w:cs="Calibri" w:eastAsia="Calibri" w:hAnsi="Calibri"/>
                <w:sz w:val="19"/>
                <w:szCs w:val="19"/>
              </w:rPr>
              <w:t xml:space="preserve">Fraud Operations, Payments Product, Financial Crime / BSA-AML, Compliance, Information Security, Legal &amp; Regulatory</w:t>
            </w:r>
          </w:p>
        </w:tc>
      </w:tr>
      <w:tr>
        <w:trPr>
          <w:cantSplit/>
          <w:tblHeader w:val="false"/>
        </w:trPr>
        <w:tc>
          <w:tcPr>
            <w:tcW w:type="dxa" w:w="1720"/>
            <w:tcMar>
              <w:top w:type="dxa" w:w="70"/>
              <w:left w:type="dxa" w:w="100"/>
              <w:bottom w:type="dxa" w:w="70"/>
              <w:right w:type="dxa" w:w="100"/>
            </w:tcMar>
          </w:tcPr>
          <w:p>
            <w:pPr>
              <w:spacing w:after="30" w:before="30" w:line="232"/>
            </w:pPr>
            <w:r>
              <w:rPr>
                <w:rFonts w:ascii="Calibri" w:cs="Calibri" w:eastAsia="Calibri" w:hAnsi="Calibri"/>
                <w:sz w:val="19"/>
                <w:szCs w:val="19"/>
              </w:rPr>
              <w:t xml:space="preserve">Target release</w:t>
            </w:r>
          </w:p>
        </w:tc>
        <w:tc>
          <w:tcPr>
            <w:tcW w:type="dxa" w:w="8360"/>
            <w:tcMar>
              <w:top w:type="dxa" w:w="70"/>
              <w:left w:type="dxa" w:w="100"/>
              <w:bottom w:type="dxa" w:w="70"/>
              <w:right w:type="dxa" w:w="100"/>
            </w:tcMar>
          </w:tcPr>
          <w:p>
            <w:pPr>
              <w:spacing w:after="30" w:before="30" w:line="232"/>
            </w:pPr>
            <w:r>
              <w:rPr>
                <w:rFonts w:ascii="Calibri" w:cs="Calibri" w:eastAsia="Calibri" w:hAnsi="Calibri"/>
                <w:sz w:val="19"/>
                <w:szCs w:val="19"/>
              </w:rPr>
              <w:t xml:space="preserve">Operating console on a single institution, no counterparty adoption required (Section 14)</w:t>
            </w:r>
          </w:p>
        </w:tc>
      </w:tr>
      <w:tr>
        <w:trPr>
          <w:cantSplit/>
          <w:tblHeader w:val="false"/>
        </w:trPr>
        <w:tc>
          <w:tcPr>
            <w:tcW w:type="dxa" w:w="1720"/>
            <w:tcMar>
              <w:top w:type="dxa" w:w="70"/>
              <w:left w:type="dxa" w:w="100"/>
              <w:bottom w:type="dxa" w:w="70"/>
              <w:right w:type="dxa" w:w="100"/>
            </w:tcMar>
          </w:tcPr>
          <w:p>
            <w:pPr>
              <w:spacing w:after="30" w:before="30" w:line="232"/>
            </w:pPr>
            <w:r>
              <w:rPr>
                <w:rFonts w:ascii="Calibri" w:cs="Calibri" w:eastAsia="Calibri" w:hAnsi="Calibri"/>
                <w:sz w:val="19"/>
                <w:szCs w:val="19"/>
              </w:rPr>
              <w:t xml:space="preserve">Priority</w:t>
            </w:r>
          </w:p>
        </w:tc>
        <w:tc>
          <w:tcPr>
            <w:tcW w:type="dxa" w:w="8360"/>
            <w:tcMar>
              <w:top w:type="dxa" w:w="70"/>
              <w:left w:type="dxa" w:w="100"/>
              <w:bottom w:type="dxa" w:w="70"/>
              <w:right w:type="dxa" w:w="100"/>
            </w:tcMar>
          </w:tcPr>
          <w:p>
            <w:pPr>
              <w:spacing w:after="30" w:before="30" w:line="232"/>
            </w:pPr>
            <w:r>
              <w:rPr>
                <w:rFonts w:ascii="Calibri" w:cs="Calibri" w:eastAsia="Calibri" w:hAnsi="Calibri"/>
                <w:sz w:val="19"/>
                <w:szCs w:val="19"/>
              </w:rPr>
              <w:t xml:space="preserve">High</w:t>
            </w:r>
          </w:p>
        </w:tc>
      </w:tr>
    </w:tbl>
    <w:p>
      <w:r>
        <w:br w:type="page"/>
      </w:r>
    </w:p>
    <w:p>
      <w:pPr>
        <w:keepNext/>
        <w:spacing w:after="120" w:before="260" w:line="300"/>
        <w:outlineLvl w:val="1"/>
      </w:pPr>
      <w:r>
        <w:rPr>
          <w:rFonts w:ascii="Calibri" w:cs="Calibri" w:eastAsia="Calibri" w:hAnsi="Calibri"/>
          <w:b/>
          <w:bCs/>
          <w:color w:val="1F3A5F"/>
          <w:sz w:val="24"/>
          <w:szCs w:val="24"/>
        </w:rPr>
        <w:t xml:space="preserve">Contents</w:t>
      </w:r>
    </w:p>
    <w:p>
      <w:pPr>
        <w:spacing w:after="160" w:line="264"/>
      </w:pPr>
      <w:r>
        <w:rPr>
          <w:rFonts w:ascii="Calibri" w:cs="Calibri" w:eastAsia="Calibri" w:hAnsi="Calibri"/>
          <w:i/>
          <w:iCs/>
          <w:color w:val="666666"/>
          <w:sz w:val="21"/>
          <w:szCs w:val="21"/>
        </w:rPr>
        <w:t xml:space="preserve">Section titles below are live links.</w:t>
      </w:r>
    </w:p>
    <w:p>
      <w:pPr>
        <w:spacing w:after="90" w:line="300"/>
      </w:pPr>
      <w:hyperlink w:history="1" w:anchor="s1">
        <w:r>
          <w:rPr>
            <w:rFonts w:ascii="Calibri" w:cs="Calibri" w:eastAsia="Calibri" w:hAnsi="Calibri"/>
            <w:color w:val="0563C1"/>
            <w:sz w:val="21"/>
            <w:szCs w:val="21"/>
            <w:u w:val="single"/>
          </w:rPr>
          <w:t xml:space="preserve">1. Summary</w:t>
        </w:r>
      </w:hyperlink>
    </w:p>
    <w:p>
      <w:pPr>
        <w:spacing w:after="90" w:line="300"/>
      </w:pPr>
      <w:hyperlink w:history="1" w:anchor="s2">
        <w:r>
          <w:rPr>
            <w:rFonts w:ascii="Calibri" w:cs="Calibri" w:eastAsia="Calibri" w:hAnsi="Calibri"/>
            <w:color w:val="0563C1"/>
            <w:sz w:val="21"/>
            <w:szCs w:val="21"/>
            <w:u w:val="single"/>
          </w:rPr>
          <w:t xml:space="preserve">2. The Problem</w:t>
        </w:r>
      </w:hyperlink>
    </w:p>
    <w:p>
      <w:pPr>
        <w:spacing w:after="90" w:line="300"/>
      </w:pPr>
      <w:hyperlink w:history="1" w:anchor="s3">
        <w:r>
          <w:rPr>
            <w:rFonts w:ascii="Calibri" w:cs="Calibri" w:eastAsia="Calibri" w:hAnsi="Calibri"/>
            <w:color w:val="0563C1"/>
            <w:sz w:val="21"/>
            <w:szCs w:val="21"/>
            <w:u w:val="single"/>
          </w:rPr>
          <w:t xml:space="preserve">3. What Changed From v1.1, and Why</w:t>
        </w:r>
      </w:hyperlink>
    </w:p>
    <w:p>
      <w:pPr>
        <w:spacing w:after="90" w:line="300"/>
      </w:pPr>
      <w:hyperlink w:history="1" w:anchor="s4">
        <w:r>
          <w:rPr>
            <w:rFonts w:ascii="Calibri" w:cs="Calibri" w:eastAsia="Calibri" w:hAnsi="Calibri"/>
            <w:color w:val="0563C1"/>
            <w:sz w:val="21"/>
            <w:szCs w:val="21"/>
            <w:u w:val="single"/>
          </w:rPr>
          <w:t xml:space="preserve">4. Goals and Non-Goals</w:t>
        </w:r>
      </w:hyperlink>
    </w:p>
    <w:p>
      <w:pPr>
        <w:spacing w:after="90" w:line="300"/>
      </w:pPr>
      <w:hyperlink w:history="1" w:anchor="s5">
        <w:r>
          <w:rPr>
            <w:rFonts w:ascii="Calibri" w:cs="Calibri" w:eastAsia="Calibri" w:hAnsi="Calibri"/>
            <w:color w:val="0563C1"/>
            <w:sz w:val="21"/>
            <w:szCs w:val="21"/>
            <w:u w:val="single"/>
          </w:rPr>
          <w:t xml:space="preserve">5. Who This Is For</w:t>
        </w:r>
      </w:hyperlink>
    </w:p>
    <w:p>
      <w:pPr>
        <w:spacing w:after="90" w:line="300"/>
      </w:pPr>
      <w:hyperlink w:history="1" w:anchor="s6">
        <w:r>
          <w:rPr>
            <w:rFonts w:ascii="Calibri" w:cs="Calibri" w:eastAsia="Calibri" w:hAnsi="Calibri"/>
            <w:color w:val="0563C1"/>
            <w:sz w:val="21"/>
            <w:szCs w:val="21"/>
            <w:u w:val="single"/>
          </w:rPr>
          <w:t xml:space="preserve">6. How It Works</w:t>
        </w:r>
      </w:hyperlink>
    </w:p>
    <w:p>
      <w:pPr>
        <w:spacing w:after="90" w:line="300"/>
      </w:pPr>
      <w:hyperlink w:history="1" w:anchor="s7">
        <w:r>
          <w:rPr>
            <w:rFonts w:ascii="Calibri" w:cs="Calibri" w:eastAsia="Calibri" w:hAnsi="Calibri"/>
            <w:color w:val="0563C1"/>
            <w:sz w:val="21"/>
            <w:szCs w:val="21"/>
            <w:u w:val="single"/>
          </w:rPr>
          <w:t xml:space="preserve">7. Requirements</w:t>
        </w:r>
      </w:hyperlink>
    </w:p>
    <w:p>
      <w:pPr>
        <w:spacing w:after="90" w:line="300"/>
      </w:pPr>
      <w:hyperlink w:history="1" w:anchor="s8">
        <w:r>
          <w:rPr>
            <w:rFonts w:ascii="Calibri" w:cs="Calibri" w:eastAsia="Calibri" w:hAnsi="Calibri"/>
            <w:color w:val="0563C1"/>
            <w:sz w:val="21"/>
            <w:szCs w:val="21"/>
            <w:u w:val="single"/>
          </w:rPr>
          <w:t xml:space="preserve">8. The Model, and What It Decides</w:t>
        </w:r>
      </w:hyperlink>
    </w:p>
    <w:p>
      <w:pPr>
        <w:spacing w:after="90" w:line="300"/>
      </w:pPr>
      <w:hyperlink w:history="1" w:anchor="s9">
        <w:r>
          <w:rPr>
            <w:rFonts w:ascii="Calibri" w:cs="Calibri" w:eastAsia="Calibri" w:hAnsi="Calibri"/>
            <w:color w:val="0563C1"/>
            <w:sz w:val="21"/>
            <w:szCs w:val="21"/>
            <w:u w:val="single"/>
          </w:rPr>
          <w:t xml:space="preserve">9. Competitive Position</w:t>
        </w:r>
      </w:hyperlink>
    </w:p>
    <w:p>
      <w:pPr>
        <w:spacing w:after="90" w:line="300"/>
      </w:pPr>
      <w:hyperlink w:history="1" w:anchor="s10">
        <w:r>
          <w:rPr>
            <w:rFonts w:ascii="Calibri" w:cs="Calibri" w:eastAsia="Calibri" w:hAnsi="Calibri"/>
            <w:color w:val="0563C1"/>
            <w:sz w:val="21"/>
            <w:szCs w:val="21"/>
            <w:u w:val="single"/>
          </w:rPr>
          <w:t xml:space="preserve">10. Success Metrics</w:t>
        </w:r>
      </w:hyperlink>
    </w:p>
    <w:p>
      <w:pPr>
        <w:spacing w:after="90" w:line="300"/>
      </w:pPr>
      <w:hyperlink w:history="1" w:anchor="s11">
        <w:r>
          <w:rPr>
            <w:rFonts w:ascii="Calibri" w:cs="Calibri" w:eastAsia="Calibri" w:hAnsi="Calibri"/>
            <w:color w:val="0563C1"/>
            <w:sz w:val="21"/>
            <w:szCs w:val="21"/>
            <w:u w:val="single"/>
          </w:rPr>
          <w:t xml:space="preserve">11. How We Will Prove It Works</w:t>
        </w:r>
      </w:hyperlink>
    </w:p>
    <w:p>
      <w:pPr>
        <w:spacing w:after="90" w:line="300"/>
      </w:pPr>
      <w:hyperlink w:history="1" w:anchor="s12">
        <w:r>
          <w:rPr>
            <w:rFonts w:ascii="Calibri" w:cs="Calibri" w:eastAsia="Calibri" w:hAnsi="Calibri"/>
            <w:color w:val="0563C1"/>
            <w:sz w:val="21"/>
            <w:szCs w:val="21"/>
            <w:u w:val="single"/>
          </w:rPr>
          <w:t xml:space="preserve">12. Scope, Assumptions and Dependencies</w:t>
        </w:r>
      </w:hyperlink>
    </w:p>
    <w:p>
      <w:pPr>
        <w:spacing w:after="90" w:line="300"/>
      </w:pPr>
      <w:hyperlink w:history="1" w:anchor="s13">
        <w:r>
          <w:rPr>
            <w:rFonts w:ascii="Calibri" w:cs="Calibri" w:eastAsia="Calibri" w:hAnsi="Calibri"/>
            <w:color w:val="0563C1"/>
            <w:sz w:val="21"/>
            <w:szCs w:val="21"/>
            <w:u w:val="single"/>
          </w:rPr>
          <w:t xml:space="preserve">13. Risks</w:t>
        </w:r>
      </w:hyperlink>
    </w:p>
    <w:p>
      <w:pPr>
        <w:spacing w:after="90" w:line="300"/>
      </w:pPr>
      <w:hyperlink w:history="1" w:anchor="s14">
        <w:r>
          <w:rPr>
            <w:rFonts w:ascii="Calibri" w:cs="Calibri" w:eastAsia="Calibri" w:hAnsi="Calibri"/>
            <w:color w:val="0563C1"/>
            <w:sz w:val="21"/>
            <w:szCs w:val="21"/>
            <w:u w:val="single"/>
          </w:rPr>
          <w:t xml:space="preserve">14. Milestones and Build Status</w:t>
        </w:r>
      </w:hyperlink>
    </w:p>
    <w:p>
      <w:pPr>
        <w:spacing w:after="90" w:line="300"/>
      </w:pPr>
      <w:hyperlink w:history="1" w:anchor="s15">
        <w:r>
          <w:rPr>
            <w:rFonts w:ascii="Calibri" w:cs="Calibri" w:eastAsia="Calibri" w:hAnsi="Calibri"/>
            <w:color w:val="0563C1"/>
            <w:sz w:val="21"/>
            <w:szCs w:val="21"/>
            <w:u w:val="single"/>
          </w:rPr>
          <w:t xml:space="preserve">15. Open Questions</w:t>
        </w:r>
      </w:hyperlink>
    </w:p>
    <w:p>
      <w:pPr>
        <w:spacing w:after="90" w:line="300"/>
      </w:pPr>
      <w:hyperlink w:history="1" w:anchor="sa">
        <w:r>
          <w:rPr>
            <w:rFonts w:ascii="Calibri" w:cs="Calibri" w:eastAsia="Calibri" w:hAnsi="Calibri"/>
            <w:color w:val="0563C1"/>
            <w:sz w:val="21"/>
            <w:szCs w:val="21"/>
            <w:u w:val="single"/>
          </w:rPr>
          <w:t xml:space="preserve">Appendix A — Rail Capability Matrix</w:t>
        </w:r>
      </w:hyperlink>
    </w:p>
    <w:p>
      <w:pPr>
        <w:spacing w:after="90" w:line="300"/>
      </w:pPr>
      <w:hyperlink w:history="1" w:anchor="sb">
        <w:r>
          <w:rPr>
            <w:rFonts w:ascii="Calibri" w:cs="Calibri" w:eastAsia="Calibri" w:hAnsi="Calibri"/>
            <w:color w:val="0563C1"/>
            <w:sz w:val="21"/>
            <w:szCs w:val="21"/>
            <w:u w:val="single"/>
          </w:rPr>
          <w:t xml:space="preserve">Appendix B — Data Model and Events</w:t>
        </w:r>
      </w:hyperlink>
    </w:p>
    <w:p>
      <w:pPr>
        <w:spacing w:after="90" w:line="300"/>
      </w:pPr>
      <w:hyperlink w:history="1" w:anchor="sc">
        <w:r>
          <w:rPr>
            <w:rFonts w:ascii="Calibri" w:cs="Calibri" w:eastAsia="Calibri" w:hAnsi="Calibri"/>
            <w:color w:val="0563C1"/>
            <w:sz w:val="21"/>
            <w:szCs w:val="21"/>
            <w:u w:val="single"/>
          </w:rPr>
          <w:t xml:space="preserve">Appendix C — Sources</w:t>
        </w:r>
      </w:hyperlink>
    </w:p>
    <w:p>
      <w:r>
        <w:br w:type="page"/>
      </w:r>
    </w:p>
    <w:p>
      <w:pPr>
        <w:keepNext/>
        <w:keepLines/>
        <w:spacing w:after="120" w:before="260" w:line="300"/>
        <w:outlineLvl w:val="0"/>
      </w:pPr>
      <w:bookmarkStart w:name="s1" w:id="1"/>
      <w:r>
        <w:rPr>
          <w:rFonts w:ascii="Calibri" w:cs="Calibri" w:eastAsia="Calibri" w:hAnsi="Calibri"/>
          <w:b/>
          <w:bCs/>
          <w:color w:val="1F3A5F"/>
          <w:sz w:val="28"/>
          <w:szCs w:val="28"/>
        </w:rPr>
        <w:t xml:space="preserve">1. Summary</w:t>
      </w:r>
      <w:bookmarkEnd w:id="1"/>
    </w:p>
    <w:p>
      <w:pPr>
        <w:spacing w:after="120" w:line="264"/>
        <w:jc w:val="both"/>
      </w:pPr>
      <w:r>
        <w:rPr>
          <w:rFonts w:ascii="Calibri" w:cs="Calibri" w:eastAsia="Calibri" w:hAnsi="Calibri"/>
          <w:sz w:val="21"/>
          <w:szCs w:val="21"/>
        </w:rPr>
        <w:t xml:space="preserve">Every US payment rail has a way to ask for money back. </w:t>
      </w:r>
      <w:r>
        <w:rPr>
          <w:rFonts w:ascii="Calibri" w:cs="Calibri" w:eastAsia="Calibri" w:hAnsi="Calibri"/>
          <w:b/>
          <w:bCs/>
          <w:sz w:val="21"/>
          <w:szCs w:val="21"/>
        </w:rPr>
        <w:t xml:space="preserve">Not one has both a machine-readable format for the answer and an enforceable obligation to give one.</w:t>
      </w:r>
      <w:r>
        <w:rPr>
          <w:rFonts w:ascii="Calibri" w:cs="Calibri" w:eastAsia="Calibri" w:hAnsi="Calibri"/>
          <w:sz w:val="21"/>
          <w:szCs w:val="21"/>
        </w:rPr>
        <w:t xml:space="preserve"> ACH carries the strongest response obligation in US payments — since 1 April 2025 the receiving institution must advise the originator of its decision within ten banking days, whether or not it complies — and Nacha prescribes no format for that answer at all; the method is flexible, portal or phone. The instant rails invert it: FedNow, RTP and, since 14 July 2025, Fedwire all carry camt.029, a structured disposition message, and none of them obliges anyone to send it.</w:t>
      </w:r>
    </w:p>
    <w:p>
      <w:pPr>
        <w:spacing w:after="120" w:line="264"/>
        <w:jc w:val="both"/>
      </w:pPr>
      <w:r>
        <w:rPr>
          <w:rFonts w:ascii="Calibri" w:cs="Calibri" w:eastAsia="Calibri" w:hAnsi="Calibri"/>
          <w:sz w:val="21"/>
          <w:szCs w:val="21"/>
        </w:rPr>
        <w:t xml:space="preserve">A bank working all four rails therefore runs four incompatible processes for one business event: </w:t>
      </w:r>
      <w:r>
        <w:rPr>
          <w:rFonts w:ascii="Calibri" w:cs="Calibri" w:eastAsia="Calibri" w:hAnsi="Calibri"/>
          <w:i/>
          <w:iCs/>
          <w:sz w:val="21"/>
          <w:szCs w:val="21"/>
        </w:rPr>
        <w:t xml:space="preserve">my customer was tricked, please send the money back</w:t>
      </w:r>
      <w:r>
        <w:rPr>
          <w:rFonts w:ascii="Calibri" w:cs="Calibri" w:eastAsia="Calibri" w:hAnsi="Calibri"/>
          <w:sz w:val="21"/>
          <w:szCs w:val="21"/>
        </w:rPr>
        <w:t xml:space="preserve">. Three of those processes have no enforceable deadline. The one that does has nothing to parse.</w:t>
      </w:r>
    </w:p>
    <w:p>
      <w:pPr>
        <w:spacing w:after="120" w:line="264"/>
        <w:jc w:val="both"/>
      </w:pPr>
      <w:r>
        <w:rPr>
          <w:rFonts w:ascii="Calibri" w:cs="Calibri" w:eastAsia="Calibri" w:hAnsi="Calibri"/>
          <w:sz w:val="21"/>
          <w:szCs w:val="21"/>
        </w:rPr>
        <w:t xml:space="preserve">Interlock is the operations layer over that gap. It normalises a return-of-funds request from any channel — camt.056 on the instant rails, an R06 request on ACH, a Federal Reserve Exception Resolution Service case, or an email — into one case with one clock, ranks the queue by recoverable value rather than arrival order, and makes it structurally impossible to close a case without a recorded disposition.</w:t>
      </w:r>
    </w:p>
    <w:p>
      <w:pPr>
        <w:spacing w:after="120" w:line="264"/>
        <w:jc w:val="both"/>
      </w:pPr>
      <w:r>
        <w:rPr>
          <w:rFonts w:ascii="Calibri" w:cs="Calibri" w:eastAsia="Calibri" w:hAnsi="Calibri"/>
          <w:b/>
          <w:bCs/>
          <w:sz w:val="21"/>
          <w:szCs w:val="21"/>
        </w:rPr>
        <w:t xml:space="preserve">What we are asking for:</w:t>
      </w:r>
      <w:r>
        <w:rPr>
          <w:rFonts w:ascii="Calibri" w:cs="Calibri" w:eastAsia="Calibri" w:hAnsi="Calibri"/>
          <w:sz w:val="21"/>
          <w:szCs w:val="21"/>
        </w:rPr>
        <w:t xml:space="preserve"> approval of the single-institution scope in Section 4, the recoverability-ranking objective in Section 8, and the disposition guarantee in Section 7 as a P0 requirement.</w:t>
      </w:r>
    </w:p>
    <w:p>
      <w:pPr>
        <w:spacing w:after="120" w:line="264"/>
        <w:jc w:val="both"/>
      </w:pPr>
      <w:r>
        <w:rPr>
          <w:rFonts w:ascii="Calibri" w:cs="Calibri" w:eastAsia="Calibri" w:hAnsi="Calibri"/>
          <w:b/>
          <w:bCs/>
          <w:sz w:val="21"/>
          <w:szCs w:val="21"/>
        </w:rPr>
        <w:t xml:space="preserve">Expected outcome:</w:t>
      </w:r>
      <w:r>
        <w:rPr>
          <w:rFonts w:ascii="Calibri" w:cs="Calibri" w:eastAsia="Calibri" w:hAnsi="Calibri"/>
          <w:sz w:val="21"/>
          <w:szCs w:val="21"/>
        </w:rPr>
        <w:t xml:space="preserve"> more recovered dollars per analyst-hour than arrival-order working under a fixed capacity constraint; 100% of ACH requests answered inside the Nacha window; zero cases closed without a disposition, by construction rather than by observation.</w:t>
      </w:r>
    </w:p>
    <w:p>
      <w:pPr>
        <w:spacing w:after="120" w:line="264"/>
        <w:jc w:val="both"/>
      </w:pPr>
      <w:r>
        <w:rPr>
          <w:rFonts w:ascii="Calibri" w:cs="Calibri" w:eastAsia="Calibri" w:hAnsi="Calibri"/>
          <w:b/>
          <w:bCs/>
          <w:sz w:val="21"/>
          <w:szCs w:val="21"/>
        </w:rPr>
        <w:t xml:space="preserve">Not in scope:</w:t>
      </w:r>
      <w:r>
        <w:rPr>
          <w:rFonts w:ascii="Calibri" w:cs="Calibri" w:eastAsia="Calibri" w:hAnsi="Calibri"/>
          <w:sz w:val="21"/>
          <w:szCs w:val="21"/>
        </w:rPr>
        <w:t xml:space="preserve"> fraud detection, Regulation E dispute management, cross-border corridors, card rails, and any network requiring another institution to adopt anything.</w:t>
      </w:r>
    </w:p>
    <w:p>
      <w:pPr>
        <w:spacing w:after="120" w:line="264"/>
        <w:jc w:val="both"/>
      </w:pPr>
      <w:r>
        <w:rPr>
          <w:rFonts w:ascii="Calibri" w:cs="Calibri" w:eastAsia="Calibri" w:hAnsi="Calibri"/>
          <w:b/>
          <w:bCs/>
          <w:sz w:val="21"/>
          <w:szCs w:val="21"/>
        </w:rPr>
        <w:t xml:space="preserve">The commercial argument in one line:</w:t>
      </w:r>
      <w:r>
        <w:rPr>
          <w:rFonts w:ascii="Calibri" w:cs="Calibri" w:eastAsia="Calibri" w:hAnsi="Calibri"/>
          <w:sz w:val="21"/>
          <w:szCs w:val="21"/>
        </w:rPr>
        <w:t xml:space="preserve"> the product exists, it works, and it is not in the United States. Mastercard ships A2A Protect “Recover” in the United Kingdom; Salv Bridge runs across sixteen-plus European jurisdictions. Neither operates here.</w:t>
      </w:r>
    </w:p>
    <w:p>
      <w:pPr>
        <w:keepNext/>
        <w:keepLines/>
        <w:spacing w:after="120" w:before="260" w:line="300"/>
        <w:outlineLvl w:val="0"/>
      </w:pPr>
      <w:bookmarkStart w:name="s2" w:id="1"/>
      <w:r>
        <w:rPr>
          <w:rFonts w:ascii="Calibri" w:cs="Calibri" w:eastAsia="Calibri" w:hAnsi="Calibri"/>
          <w:b/>
          <w:bCs/>
          <w:color w:val="1F3A5F"/>
          <w:sz w:val="28"/>
          <w:szCs w:val="28"/>
        </w:rPr>
        <w:t xml:space="preserve">2. The Problem</w:t>
      </w:r>
      <w:bookmarkEnd w:id="1"/>
    </w:p>
    <w:p>
      <w:pPr>
        <w:spacing w:after="120" w:line="264"/>
        <w:jc w:val="both"/>
      </w:pPr>
      <w:r>
        <w:rPr>
          <w:rFonts w:ascii="Calibri" w:cs="Calibri" w:eastAsia="Calibri" w:hAnsi="Calibri"/>
          <w:sz w:val="21"/>
          <w:szCs w:val="21"/>
        </w:rPr>
        <w:t xml:space="preserve">A credit union member is scammed and sends $4,820 over FedNow. It settles in seconds. The member realises within the hour and calls. The fraud analyst now has to reach a counterparty they have never dealt with, on a rail whose rules say the counterparty </w:t>
      </w:r>
      <w:r>
        <w:rPr>
          <w:rFonts w:ascii="Calibri" w:cs="Calibri" w:eastAsia="Calibri" w:hAnsi="Calibri"/>
          <w:i/>
          <w:iCs/>
          <w:sz w:val="21"/>
          <w:szCs w:val="21"/>
        </w:rPr>
        <w:t xml:space="preserve">should</w:t>
      </w:r>
      <w:r>
        <w:rPr>
          <w:rFonts w:ascii="Calibri" w:cs="Calibri" w:eastAsia="Calibri" w:hAnsi="Calibri"/>
          <w:sz w:val="21"/>
          <w:szCs w:val="21"/>
        </w:rPr>
        <w:t xml:space="preserve"> respond but need not, with no deadline they can cite and no standard way to record what was said.</w:t>
      </w:r>
    </w:p>
    <w:p>
      <w:pPr>
        <w:spacing w:after="120" w:line="264"/>
        <w:jc w:val="both"/>
      </w:pPr>
      <w:r>
        <w:rPr>
          <w:rFonts w:ascii="Calibri" w:cs="Calibri" w:eastAsia="Calibri" w:hAnsi="Calibri"/>
          <w:sz w:val="21"/>
          <w:szCs w:val="21"/>
        </w:rPr>
        <w:t xml:space="preserve">Meanwhile a second case on ACH, a third over RTP and a fourth arriving as an email from a bank that gave up on the message format all land in different queues, often with different teams, each with its own conventions. Nothing ranks them. They get worked in the order they arrived.</w:t>
      </w:r>
    </w:p>
    <w:p>
      <w:pPr>
        <w:keepNext/>
        <w:keepLines/>
        <w:spacing w:after="80" w:before="180" w:line="270"/>
        <w:outlineLvl w:val="2"/>
      </w:pPr>
      <w:r>
        <w:rPr>
          <w:rFonts w:ascii="Calibri" w:cs="Calibri" w:eastAsia="Calibri" w:hAnsi="Calibri"/>
          <w:b/>
          <w:bCs/>
          <w:color w:val="1F4D78"/>
          <w:sz w:val="22"/>
          <w:szCs w:val="22"/>
        </w:rPr>
        <w:t xml:space="preserve">The money is already leaving</w:t>
      </w:r>
    </w:p>
    <w:p>
      <w:pPr>
        <w:spacing w:after="120" w:line="264"/>
        <w:jc w:val="both"/>
      </w:pPr>
      <w:r>
        <w:rPr>
          <w:rFonts w:ascii="Calibri" w:cs="Calibri" w:eastAsia="Calibri" w:hAnsi="Calibri"/>
          <w:sz w:val="21"/>
          <w:szCs w:val="21"/>
        </w:rPr>
        <w:t xml:space="preserve">Published UK data on mule-account behaviour, drawn from Lloyds Banking Group transactions, found roughly 28% of value left mule accounts within fifteen minutes of arrival, a further 25% within the hour, and under 15% still present after twenty-four hours. If that curve is even directionally right in the United States, then working a recall queue in arrival order destroys most of the value that could have been recovered. No equivalent US dataset appears to exist — which is itself a finding, and is the reason our own decay model is labelled throughout as a UK-derived assumption.</w:t>
      </w:r>
    </w:p>
    <w:p>
      <w:pPr>
        <w:keepNext/>
        <w:keepLines/>
        <w:spacing w:after="80" w:before="180" w:line="270"/>
        <w:outlineLvl w:val="2"/>
      </w:pPr>
      <w:r>
        <w:rPr>
          <w:rFonts w:ascii="Calibri" w:cs="Calibri" w:eastAsia="Calibri" w:hAnsi="Calibri"/>
          <w:b/>
          <w:bCs/>
          <w:color w:val="1F4D78"/>
          <w:sz w:val="22"/>
          <w:szCs w:val="22"/>
        </w:rPr>
        <w:t xml:space="preserve">The measurement gap</w:t>
      </w:r>
    </w:p>
    <w:p>
      <w:pPr>
        <w:spacing w:after="120" w:line="264"/>
        <w:jc w:val="both"/>
      </w:pPr>
      <w:r>
        <w:rPr>
          <w:rFonts w:ascii="Calibri" w:cs="Calibri" w:eastAsia="Calibri" w:hAnsi="Calibri"/>
          <w:sz w:val="21"/>
          <w:szCs w:val="21"/>
        </w:rPr>
        <w:t xml:space="preserve">The FBI’s Recovery Asset Team froze $679 million of $1.163 billion attempted in 2025, a 58% success rate, against $20.877 billion in total reported IC3 losses. Roughly 3.3% of reported losses reach the one mechanism that demonstrably works. There is no published US statistic for what share of scam funds is recovered from receiving institutions at all.</w:t>
      </w:r>
    </w:p>
    <w:p>
      <w:pPr>
        <w:keepNext/>
        <w:keepLines/>
        <w:spacing w:after="80" w:before="180" w:line="270"/>
        <w:outlineLvl w:val="2"/>
      </w:pPr>
      <w:r>
        <w:rPr>
          <w:rFonts w:ascii="Calibri" w:cs="Calibri" w:eastAsia="Calibri" w:hAnsi="Calibri"/>
          <w:b/>
          <w:bCs/>
          <w:color w:val="1F4D78"/>
          <w:sz w:val="22"/>
          <w:szCs w:val="22"/>
        </w:rPr>
        <w:t xml:space="preserve">The regulators have said so themselves</w:t>
      </w:r>
    </w:p>
    <w:p>
      <w:pPr>
        <w:spacing w:after="120" w:line="264"/>
        <w:jc w:val="both"/>
      </w:pPr>
      <w:r>
        <w:rPr>
          <w:rFonts w:ascii="Calibri" w:cs="Calibri" w:eastAsia="Calibri" w:hAnsi="Calibri"/>
          <w:sz w:val="21"/>
          <w:szCs w:val="21"/>
        </w:rPr>
        <w:t xml:space="preserve">The Federal Reserve, FDIC and OCC stated in their June 2025 joint request for information that payments fraud data is “currently collected in an incomplete, non-standardized, ad hoc, and fragmented way,” and reported complaints from supervised institutions about “challenges in resolving disputes about liability.” The Clearing House told those regulators in writing that bank-to-bank claims “are often not efficient or effective, particularly for smaller-dollar-value claims,” and asked for an automated mechanism. The ASC X9 Payment Fraud Forum convened for the first time on 10 September 2026 — with the Federal Reserve, The Clearing House and the US Faster Payments Council present — to begin agreeing shared fraud vocabulary. Standardised disposition messaging is years away.</w:t>
      </w:r>
    </w:p>
    <w:p>
      <w:pPr>
        <w:keepNext/>
        <w:keepLines/>
        <w:spacing w:after="120" w:before="260" w:line="300"/>
        <w:outlineLvl w:val="0"/>
      </w:pPr>
      <w:bookmarkStart w:name="s3" w:id="1"/>
      <w:r>
        <w:rPr>
          <w:rFonts w:ascii="Calibri" w:cs="Calibri" w:eastAsia="Calibri" w:hAnsi="Calibri"/>
          <w:b/>
          <w:bCs/>
          <w:color w:val="1F3A5F"/>
          <w:sz w:val="28"/>
          <w:szCs w:val="28"/>
        </w:rPr>
        <w:t xml:space="preserve">3. What Changed From v1.1, and Why</w:t>
      </w:r>
      <w:bookmarkEnd w:id="1"/>
    </w:p>
    <w:p>
      <w:pPr>
        <w:spacing w:after="120" w:line="264"/>
        <w:jc w:val="both"/>
      </w:pPr>
      <w:r>
        <w:rPr>
          <w:rFonts w:ascii="Calibri" w:cs="Calibri" w:eastAsia="Calibri" w:hAnsi="Calibri"/>
          <w:sz w:val="21"/>
          <w:szCs w:val="21"/>
        </w:rPr>
        <w:t xml:space="preserve">v1.1 described Interlock as a cross-institution network for exchanging fraud signals before settlement, with recall as a secondary component. That framing had two problems, and the honest response was to rewrite rather than patch.</w:t>
      </w:r>
    </w:p>
    <w:p>
      <w:pPr>
        <w:spacing w:after="120" w:line="264"/>
        <w:jc w:val="both"/>
      </w:pPr>
      <w:r>
        <w:rPr>
          <w:rFonts w:ascii="Calibri" w:cs="Calibri" w:eastAsia="Calibri" w:hAnsi="Calibri"/>
          <w:b/>
          <w:bCs/>
          <w:sz w:val="21"/>
          <w:szCs w:val="21"/>
        </w:rPr>
        <w:t xml:space="preserve">It was worth nothing to the first participant.</w:t>
      </w:r>
      <w:r>
        <w:rPr>
          <w:rFonts w:ascii="Calibri" w:cs="Calibri" w:eastAsia="Calibri" w:hAnsi="Calibri"/>
          <w:sz w:val="21"/>
          <w:szCs w:val="21"/>
        </w:rPr>
        <w:t xml:space="preserve"> A signal-exchange network returns silence to institution one, because there is nobody to ask. Value arrives somewhere around participant twenty, and nothing in the design gave participant one a reason to appear. A protocol without a consortium is a document.</w:t>
      </w:r>
    </w:p>
    <w:p>
      <w:pPr>
        <w:spacing w:after="120" w:line="264"/>
        <w:jc w:val="both"/>
      </w:pPr>
      <w:r>
        <w:rPr>
          <w:rFonts w:ascii="Calibri" w:cs="Calibri" w:eastAsia="Calibri" w:hAnsi="Calibri"/>
          <w:b/>
          <w:bCs/>
          <w:sz w:val="21"/>
          <w:szCs w:val="21"/>
        </w:rPr>
        <w:t xml:space="preserve">The signal-sharing space is closing.</w:t>
      </w:r>
      <w:r>
        <w:rPr>
          <w:rFonts w:ascii="Calibri" w:cs="Calibri" w:eastAsia="Calibri" w:hAnsi="Calibri"/>
          <w:sz w:val="21"/>
          <w:szCs w:val="21"/>
        </w:rPr>
        <w:t xml:space="preserve"> Feedzai opened a federated scoring network across a claimed $9 trillion in transactions in June 2026, marketed explicitly as delivering value from day one with no consortium build-out. Early Warning Services operates a national shared database across roughly 2,100 institutions. Entering that contest with a two-person team is not differentiation.</w:t>
      </w:r>
    </w:p>
    <w:p>
      <w:pPr>
        <w:spacing w:after="120" w:line="264"/>
        <w:jc w:val="both"/>
      </w:pPr>
      <w:r>
        <w:rPr>
          <w:rFonts w:ascii="Calibri" w:cs="Calibri" w:eastAsia="Calibri" w:hAnsi="Calibri"/>
          <w:b/>
          <w:bCs/>
          <w:sz w:val="21"/>
          <w:szCs w:val="21"/>
        </w:rPr>
        <w:t xml:space="preserve">What survived.</w:t>
      </w:r>
      <w:r>
        <w:rPr>
          <w:rFonts w:ascii="Calibri" w:cs="Calibri" w:eastAsia="Calibri" w:hAnsi="Calibri"/>
          <w:sz w:val="21"/>
          <w:szCs w:val="21"/>
        </w:rPr>
        <w:t xml:space="preserve"> The recall half was never the secondary component. The v1.1 design rule that no recall request may close without a recorded disposition turns out to describe a live US regulatory obligation with, as far as this research could establish, no software product behind it. v2.0 makes that the centre of the product and demotes signal exchange to an optional later milestone.</w:t>
      </w:r>
    </w:p>
    <w:p>
      <w:pPr>
        <w:spacing w:after="120" w:line="264"/>
        <w:jc w:val="both"/>
      </w:pPr>
      <w:r>
        <w:rPr>
          <w:rFonts w:ascii="Calibri" w:cs="Calibri" w:eastAsia="Calibri" w:hAnsi="Calibri"/>
          <w:sz w:val="21"/>
          <w:szCs w:val="21"/>
        </w:rPr>
        <w:t xml:space="preserve">The engineering from v1.1 survives almost entirely: integer-cent money, hashed account identifiers, the hash-chained audit log, protocol version negotiation and the allowlist privacy guard are all unchanged. What changed is what they are in service of.</w:t>
      </w:r>
    </w:p>
    <w:p>
      <w:pPr>
        <w:keepNext/>
        <w:keepLines/>
        <w:spacing w:after="120" w:before="260" w:line="300"/>
        <w:outlineLvl w:val="0"/>
      </w:pPr>
      <w:bookmarkStart w:name="s4" w:id="1"/>
      <w:r>
        <w:rPr>
          <w:rFonts w:ascii="Calibri" w:cs="Calibri" w:eastAsia="Calibri" w:hAnsi="Calibri"/>
          <w:b/>
          <w:bCs/>
          <w:color w:val="1F3A5F"/>
          <w:sz w:val="28"/>
          <w:szCs w:val="28"/>
        </w:rPr>
        <w:t xml:space="preserve">4. Goals and Non-Goals</w:t>
      </w:r>
      <w:bookmarkEnd w:id="1"/>
    </w:p>
    <w:p>
      <w:pPr>
        <w:keepNext/>
        <w:keepLines/>
        <w:spacing w:after="80" w:before="180" w:line="270"/>
        <w:outlineLvl w:val="2"/>
      </w:pPr>
      <w:r>
        <w:rPr>
          <w:rFonts w:ascii="Calibri" w:cs="Calibri" w:eastAsia="Calibri" w:hAnsi="Calibri"/>
          <w:b/>
          <w:bCs/>
          <w:color w:val="1F4D78"/>
          <w:sz w:val="22"/>
          <w:szCs w:val="22"/>
        </w:rPr>
        <w:t xml:space="preserve">Goals</w:t>
      </w:r>
    </w:p>
    <w:p>
      <w:pPr>
        <w:pStyle w:val="ListParagraph"/>
        <w:numPr>
          <w:ilvl w:val="0"/>
          <w:numId w:val="1"/>
        </w:numPr>
        <w:spacing w:after="80" w:line="264"/>
        <w:jc w:val="both"/>
      </w:pPr>
      <w:r>
        <w:rPr>
          <w:rFonts w:ascii="Calibri" w:cs="Calibri" w:eastAsia="Calibri" w:hAnsi="Calibri"/>
          <w:b/>
          <w:bCs/>
          <w:sz w:val="21"/>
          <w:szCs w:val="21"/>
        </w:rPr>
        <w:t xml:space="preserve">One queue instead of four.</w:t>
      </w:r>
      <w:r>
        <w:rPr>
          <w:rFonts w:ascii="Calibri" w:cs="Calibri" w:eastAsia="Calibri" w:hAnsi="Calibri"/>
          <w:sz w:val="21"/>
          <w:szCs w:val="21"/>
        </w:rPr>
        <w:t xml:space="preserve"> Every return-of-funds request, on any rail, through any channel, normalised into a single case model with a single clock.</w:t>
      </w:r>
    </w:p>
    <w:p>
      <w:pPr>
        <w:pStyle w:val="ListParagraph"/>
        <w:numPr>
          <w:ilvl w:val="0"/>
          <w:numId w:val="1"/>
        </w:numPr>
        <w:spacing w:after="80" w:line="264"/>
        <w:jc w:val="both"/>
      </w:pPr>
      <w:r>
        <w:rPr>
          <w:rFonts w:ascii="Calibri" w:cs="Calibri" w:eastAsia="Calibri" w:hAnsi="Calibri"/>
          <w:b/>
          <w:bCs/>
          <w:sz w:val="21"/>
          <w:szCs w:val="21"/>
        </w:rPr>
        <w:t xml:space="preserve">A disposition guarantee.</w:t>
      </w:r>
      <w:r>
        <w:rPr>
          <w:rFonts w:ascii="Calibri" w:cs="Calibri" w:eastAsia="Calibri" w:hAnsi="Calibri"/>
          <w:sz w:val="21"/>
          <w:szCs w:val="21"/>
        </w:rPr>
        <w:t xml:space="preserve"> No case reaches a closed state without a recorded outcome. Expiry of the window is itself a disposition requiring acknowledgement, not an absence of one.</w:t>
      </w:r>
    </w:p>
    <w:p>
      <w:pPr>
        <w:pStyle w:val="ListParagraph"/>
        <w:numPr>
          <w:ilvl w:val="0"/>
          <w:numId w:val="1"/>
        </w:numPr>
        <w:spacing w:after="80" w:line="264"/>
        <w:jc w:val="both"/>
      </w:pPr>
      <w:r>
        <w:rPr>
          <w:rFonts w:ascii="Calibri" w:cs="Calibri" w:eastAsia="Calibri" w:hAnsi="Calibri"/>
          <w:b/>
          <w:bCs/>
          <w:sz w:val="21"/>
          <w:szCs w:val="21"/>
        </w:rPr>
        <w:t xml:space="preserve">Compliance evidence.</w:t>
      </w:r>
      <w:r>
        <w:rPr>
          <w:rFonts w:ascii="Calibri" w:cs="Calibri" w:eastAsia="Calibri" w:hAnsi="Calibri"/>
          <w:sz w:val="21"/>
          <w:szCs w:val="21"/>
        </w:rPr>
        <w:t xml:space="preserve"> A tamper-evident, exportable record that the Nacha ten-banking-day obligation was met, verifiable by a third party without trusting us.</w:t>
      </w:r>
    </w:p>
    <w:p>
      <w:pPr>
        <w:pStyle w:val="ListParagraph"/>
        <w:numPr>
          <w:ilvl w:val="0"/>
          <w:numId w:val="1"/>
        </w:numPr>
        <w:spacing w:after="80" w:line="264"/>
        <w:jc w:val="both"/>
      </w:pPr>
      <w:r>
        <w:rPr>
          <w:rFonts w:ascii="Calibri" w:cs="Calibri" w:eastAsia="Calibri" w:hAnsi="Calibri"/>
          <w:b/>
          <w:bCs/>
          <w:sz w:val="21"/>
          <w:szCs w:val="21"/>
        </w:rPr>
        <w:t xml:space="preserve">Triage against a decaying asset.</w:t>
      </w:r>
      <w:r>
        <w:rPr>
          <w:rFonts w:ascii="Calibri" w:cs="Calibri" w:eastAsia="Calibri" w:hAnsi="Calibri"/>
          <w:sz w:val="21"/>
          <w:szCs w:val="21"/>
        </w:rPr>
        <w:t xml:space="preserve"> Rank the queue by expected recoverable value so that scarce analyst time goes where it still changes an outcome.</w:t>
      </w:r>
    </w:p>
    <w:p>
      <w:pPr>
        <w:pStyle w:val="ListParagraph"/>
        <w:numPr>
          <w:ilvl w:val="0"/>
          <w:numId w:val="1"/>
        </w:numPr>
        <w:spacing w:after="80" w:line="264"/>
        <w:jc w:val="both"/>
      </w:pPr>
      <w:r>
        <w:rPr>
          <w:rFonts w:ascii="Calibri" w:cs="Calibri" w:eastAsia="Calibri" w:hAnsi="Calibri"/>
          <w:b/>
          <w:bCs/>
          <w:sz w:val="21"/>
          <w:szCs w:val="21"/>
        </w:rPr>
        <w:t xml:space="preserve">Value at n = 1.</w:t>
      </w:r>
      <w:r>
        <w:rPr>
          <w:rFonts w:ascii="Calibri" w:cs="Calibri" w:eastAsia="Calibri" w:hAnsi="Calibri"/>
          <w:sz w:val="21"/>
          <w:szCs w:val="21"/>
        </w:rPr>
        <w:t xml:space="preserve"> Every goal above is delivered to a single institution with zero counterparty adoption. This is the constraint that distinguishes v2.0 from v1.1 and it is not negotiable.</w:t>
      </w:r>
    </w:p>
    <w:p>
      <w:pPr>
        <w:keepNext/>
        <w:keepLines/>
        <w:spacing w:after="80" w:before="180" w:line="270"/>
        <w:outlineLvl w:val="2"/>
      </w:pPr>
      <w:r>
        <w:rPr>
          <w:rFonts w:ascii="Calibri" w:cs="Calibri" w:eastAsia="Calibri" w:hAnsi="Calibri"/>
          <w:b/>
          <w:bCs/>
          <w:color w:val="1F4D78"/>
          <w:sz w:val="22"/>
          <w:szCs w:val="22"/>
        </w:rPr>
        <w:t xml:space="preserve">Non-Goals</w:t>
      </w:r>
    </w:p>
    <w:p>
      <w:pPr>
        <w:pStyle w:val="ListParagraph"/>
        <w:numPr>
          <w:ilvl w:val="0"/>
          <w:numId w:val="1"/>
        </w:numPr>
        <w:spacing w:after="80" w:line="264"/>
        <w:jc w:val="both"/>
      </w:pPr>
      <w:r>
        <w:rPr>
          <w:rFonts w:ascii="Calibri" w:cs="Calibri" w:eastAsia="Calibri" w:hAnsi="Calibri"/>
          <w:b/>
          <w:bCs/>
          <w:sz w:val="21"/>
          <w:szCs w:val="21"/>
        </w:rPr>
        <w:t xml:space="preserve">Not a fraud detection model.</w:t>
      </w:r>
      <w:r>
        <w:rPr>
          <w:rFonts w:ascii="Calibri" w:cs="Calibri" w:eastAsia="Calibri" w:hAnsi="Calibri"/>
          <w:sz w:val="21"/>
          <w:szCs w:val="21"/>
        </w:rPr>
        <w:t xml:space="preserve"> Detection is solved, well funded and defended. Interlock activates after money has moved, which is exactly where every detection vendor stops.</w:t>
      </w:r>
    </w:p>
    <w:p>
      <w:pPr>
        <w:pStyle w:val="ListParagraph"/>
        <w:numPr>
          <w:ilvl w:val="0"/>
          <w:numId w:val="1"/>
        </w:numPr>
        <w:spacing w:after="80" w:line="264"/>
        <w:jc w:val="both"/>
      </w:pPr>
      <w:r>
        <w:rPr>
          <w:rFonts w:ascii="Calibri" w:cs="Calibri" w:eastAsia="Calibri" w:hAnsi="Calibri"/>
          <w:b/>
          <w:bCs/>
          <w:sz w:val="21"/>
          <w:szCs w:val="21"/>
        </w:rPr>
        <w:t xml:space="preserve">Not a Regulation E dispute manager.</w:t>
      </w:r>
      <w:r>
        <w:rPr>
          <w:rFonts w:ascii="Calibri" w:cs="Calibri" w:eastAsia="Calibri" w:hAnsi="Calibri"/>
          <w:sz w:val="21"/>
          <w:szCs w:val="21"/>
        </w:rPr>
        <w:t xml:space="preserve"> Quavo, Pega and FINBOA own the victim-side claim workflow and its Reg E and Reg Z clocks. Interlock runs the interbank recovery race alongside it.</w:t>
      </w:r>
    </w:p>
    <w:p>
      <w:pPr>
        <w:pStyle w:val="ListParagraph"/>
        <w:numPr>
          <w:ilvl w:val="0"/>
          <w:numId w:val="1"/>
        </w:numPr>
        <w:spacing w:after="80" w:line="264"/>
        <w:jc w:val="both"/>
      </w:pPr>
      <w:r>
        <w:rPr>
          <w:rFonts w:ascii="Calibri" w:cs="Calibri" w:eastAsia="Calibri" w:hAnsi="Calibri"/>
          <w:b/>
          <w:bCs/>
          <w:sz w:val="21"/>
          <w:szCs w:val="21"/>
        </w:rPr>
        <w:t xml:space="preserve">Not a payment network.</w:t>
      </w:r>
      <w:r>
        <w:rPr>
          <w:rFonts w:ascii="Calibri" w:cs="Calibri" w:eastAsia="Calibri" w:hAnsi="Calibri"/>
          <w:sz w:val="21"/>
          <w:szCs w:val="21"/>
        </w:rPr>
        <w:t xml:space="preserve"> It speaks the rails’ existing messages. It does not clear, settle or route money.</w:t>
      </w:r>
    </w:p>
    <w:p>
      <w:pPr>
        <w:pStyle w:val="ListParagraph"/>
        <w:numPr>
          <w:ilvl w:val="0"/>
          <w:numId w:val="1"/>
        </w:numPr>
        <w:spacing w:after="80" w:line="264"/>
        <w:jc w:val="both"/>
      </w:pPr>
      <w:r>
        <w:rPr>
          <w:rFonts w:ascii="Calibri" w:cs="Calibri" w:eastAsia="Calibri" w:hAnsi="Calibri"/>
          <w:b/>
          <w:bCs/>
          <w:sz w:val="21"/>
          <w:szCs w:val="21"/>
        </w:rPr>
        <w:t xml:space="preserve">Not a consortium.</w:t>
      </w:r>
      <w:r>
        <w:rPr>
          <w:rFonts w:ascii="Calibri" w:cs="Calibri" w:eastAsia="Calibri" w:hAnsi="Calibri"/>
          <w:sz w:val="21"/>
          <w:szCs w:val="21"/>
        </w:rPr>
        <w:t xml:space="preserve"> Machine-to-machine exchange between two Interlock instances is the last milestone and is explicitly optional. If it never happens, the product still works.</w:t>
      </w:r>
    </w:p>
    <w:p>
      <w:pPr>
        <w:pStyle w:val="ListParagraph"/>
        <w:numPr>
          <w:ilvl w:val="0"/>
          <w:numId w:val="1"/>
        </w:numPr>
        <w:spacing w:after="80" w:line="264"/>
        <w:jc w:val="both"/>
      </w:pPr>
      <w:r>
        <w:rPr>
          <w:rFonts w:ascii="Calibri" w:cs="Calibri" w:eastAsia="Calibri" w:hAnsi="Calibri"/>
          <w:b/>
          <w:bCs/>
          <w:sz w:val="21"/>
          <w:szCs w:val="21"/>
        </w:rPr>
        <w:t xml:space="preserve">No automated action against a customer account.</w:t>
      </w:r>
      <w:r>
        <w:rPr>
          <w:rFonts w:ascii="Calibri" w:cs="Calibri" w:eastAsia="Calibri" w:hAnsi="Calibri"/>
          <w:sz w:val="21"/>
          <w:szCs w:val="21"/>
        </w:rPr>
        <w:t xml:space="preserve"> Nothing holds, freezes or returns funds without an identified operator confirming it.</w:t>
      </w:r>
    </w:p>
    <w:p>
      <w:pPr>
        <w:keepNext/>
        <w:keepLines/>
        <w:spacing w:after="120" w:before="260" w:line="300"/>
        <w:outlineLvl w:val="0"/>
      </w:pPr>
      <w:bookmarkStart w:name="s5" w:id="1"/>
      <w:r>
        <w:rPr>
          <w:rFonts w:ascii="Calibri" w:cs="Calibri" w:eastAsia="Calibri" w:hAnsi="Calibri"/>
          <w:b/>
          <w:bCs/>
          <w:color w:val="1F3A5F"/>
          <w:sz w:val="28"/>
          <w:szCs w:val="28"/>
        </w:rPr>
        <w:t xml:space="preserve">5. Who This Is For</w:t>
      </w:r>
      <w:bookmarkEnd w:id="1"/>
    </w:p>
    <w:tbl>
      <w:tblPr>
        <w:tblW w:type="dxa" w:w="10080"/>
        <w:tblBorders>
          <w:top w:val="single" w:color="BBBBBB" w:sz="3"/>
          <w:left w:val="single" w:color="BBBBBB" w:sz="3"/>
          <w:bottom w:val="single" w:color="BBBBBB" w:sz="3"/>
          <w:right w:val="single" w:color="BBBBBB" w:sz="3"/>
          <w:insideH w:val="single" w:color="BBBBBB" w:sz="3"/>
          <w:insideV w:val="single" w:color="BBBBBB" w:sz="3"/>
        </w:tblBorders>
      </w:tblPr>
      <w:tblGrid>
        <w:gridCol w:w="2400"/>
        <w:gridCol w:w="3800"/>
        <w:gridCol w:w="3880"/>
      </w:tblGrid>
      <w:tr>
        <w:trPr>
          <w:cantSplit/>
          <w:tblHeader/>
        </w:trPr>
        <w:tc>
          <w:tcPr>
            <w:tcW w:type="dxa" w:w="2400"/>
            <w:shd w:fill="1F3A5F" w:color="auto" w:val="clear"/>
            <w:tcMar>
              <w:top w:type="dxa" w:w="70"/>
              <w:left w:type="dxa" w:w="100"/>
              <w:bottom w:type="dxa" w:w="70"/>
              <w:right w:type="dxa" w:w="100"/>
            </w:tcMar>
          </w:tcPr>
          <w:p>
            <w:pPr>
              <w:spacing w:after="30" w:before="30" w:line="232"/>
            </w:pPr>
            <w:r>
              <w:rPr>
                <w:rFonts w:ascii="Calibri" w:cs="Calibri" w:eastAsia="Calibri" w:hAnsi="Calibri"/>
                <w:b/>
                <w:bCs/>
                <w:color w:val="FFFFFF"/>
                <w:sz w:val="19"/>
                <w:szCs w:val="19"/>
              </w:rPr>
              <w:t xml:space="preserve">User</w:t>
            </w:r>
          </w:p>
        </w:tc>
        <w:tc>
          <w:tcPr>
            <w:tcW w:type="dxa" w:w="3800"/>
            <w:shd w:fill="1F3A5F" w:color="auto" w:val="clear"/>
            <w:tcMar>
              <w:top w:type="dxa" w:w="70"/>
              <w:left w:type="dxa" w:w="100"/>
              <w:bottom w:type="dxa" w:w="70"/>
              <w:right w:type="dxa" w:w="100"/>
            </w:tcMar>
          </w:tcPr>
          <w:p>
            <w:pPr>
              <w:spacing w:after="30" w:before="30" w:line="232"/>
            </w:pPr>
            <w:r>
              <w:rPr>
                <w:rFonts w:ascii="Calibri" w:cs="Calibri" w:eastAsia="Calibri" w:hAnsi="Calibri"/>
                <w:b/>
                <w:bCs/>
                <w:color w:val="FFFFFF"/>
                <w:sz w:val="19"/>
                <w:szCs w:val="19"/>
              </w:rPr>
              <w:t xml:space="preserve">What they do today</w:t>
            </w:r>
          </w:p>
        </w:tc>
        <w:tc>
          <w:tcPr>
            <w:tcW w:type="dxa" w:w="3880"/>
            <w:shd w:fill="1F3A5F" w:color="auto" w:val="clear"/>
            <w:tcMar>
              <w:top w:type="dxa" w:w="70"/>
              <w:left w:type="dxa" w:w="100"/>
              <w:bottom w:type="dxa" w:w="70"/>
              <w:right w:type="dxa" w:w="100"/>
            </w:tcMar>
          </w:tcPr>
          <w:p>
            <w:pPr>
              <w:spacing w:after="30" w:before="30" w:line="232"/>
            </w:pPr>
            <w:r>
              <w:rPr>
                <w:rFonts w:ascii="Calibri" w:cs="Calibri" w:eastAsia="Calibri" w:hAnsi="Calibri"/>
                <w:b/>
                <w:bCs/>
                <w:color w:val="FFFFFF"/>
                <w:sz w:val="19"/>
                <w:szCs w:val="19"/>
              </w:rPr>
              <w:t xml:space="preserve">What changes</w:t>
            </w:r>
          </w:p>
        </w:tc>
      </w:tr>
      <w:tr>
        <w:trPr>
          <w:cantSplit/>
          <w:tblHeader w:val="false"/>
        </w:trPr>
        <w:tc>
          <w:tcPr>
            <w:tcW w:type="dxa" w:w="2400"/>
            <w:tcMar>
              <w:top w:type="dxa" w:w="70"/>
              <w:left w:type="dxa" w:w="100"/>
              <w:bottom w:type="dxa" w:w="70"/>
              <w:right w:type="dxa" w:w="100"/>
            </w:tcMar>
          </w:tcPr>
          <w:p>
            <w:pPr>
              <w:spacing w:after="30" w:before="30" w:line="232"/>
            </w:pPr>
            <w:r>
              <w:rPr>
                <w:rFonts w:ascii="Calibri" w:cs="Calibri" w:eastAsia="Calibri" w:hAnsi="Calibri"/>
                <w:sz w:val="19"/>
                <w:szCs w:val="19"/>
              </w:rPr>
              <w:t xml:space="preserve">Receiving-side fraud analyst</w:t>
            </w:r>
          </w:p>
        </w:tc>
        <w:tc>
          <w:tcPr>
            <w:tcW w:type="dxa" w:w="3800"/>
            <w:tcMar>
              <w:top w:type="dxa" w:w="70"/>
              <w:left w:type="dxa" w:w="100"/>
              <w:bottom w:type="dxa" w:w="70"/>
              <w:right w:type="dxa" w:w="100"/>
            </w:tcMar>
          </w:tcPr>
          <w:p>
            <w:pPr>
              <w:spacing w:after="30" w:before="30" w:line="232"/>
            </w:pPr>
            <w:r>
              <w:rPr>
                <w:rFonts w:ascii="Calibri" w:cs="Calibri" w:eastAsia="Calibri" w:hAnsi="Calibri"/>
                <w:sz w:val="19"/>
                <w:szCs w:val="19"/>
              </w:rPr>
              <w:t xml:space="preserve">Works inbound return requests out of an email inbox, a portal and a phone log, in arrival order, with no deadline visible.</w:t>
            </w:r>
          </w:p>
        </w:tc>
        <w:tc>
          <w:tcPr>
            <w:tcW w:type="dxa" w:w="3880"/>
            <w:tcMar>
              <w:top w:type="dxa" w:w="70"/>
              <w:left w:type="dxa" w:w="100"/>
              <w:bottom w:type="dxa" w:w="70"/>
              <w:right w:type="dxa" w:w="100"/>
            </w:tcMar>
          </w:tcPr>
          <w:p>
            <w:pPr>
              <w:spacing w:after="30" w:before="30" w:line="232"/>
            </w:pPr>
            <w:r>
              <w:rPr>
                <w:rFonts w:ascii="Calibri" w:cs="Calibri" w:eastAsia="Calibri" w:hAnsi="Calibri"/>
                <w:sz w:val="19"/>
                <w:szCs w:val="19"/>
              </w:rPr>
              <w:t xml:space="preserve">One ranked queue with a live clock per case, showing whether a rule or house policy set it.</w:t>
            </w:r>
          </w:p>
        </w:tc>
      </w:tr>
      <w:tr>
        <w:trPr>
          <w:cantSplit/>
          <w:tblHeader w:val="false"/>
        </w:trPr>
        <w:tc>
          <w:tcPr>
            <w:tcW w:type="dxa" w:w="240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Sending-side fraud analyst</w:t>
            </w:r>
          </w:p>
        </w:tc>
        <w:tc>
          <w:tcPr>
            <w:tcW w:type="dxa" w:w="380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Calls a counterparty from a registry, is transferred repeatedly, emails a PDF and waits without an expected answer date.</w:t>
            </w:r>
          </w:p>
        </w:tc>
        <w:tc>
          <w:tcPr>
            <w:tcW w:type="dxa" w:w="388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Raises a structured case, sees the counterparty’s observed median response time, and is told when to escalate.</w:t>
            </w:r>
          </w:p>
        </w:tc>
      </w:tr>
      <w:tr>
        <w:trPr>
          <w:cantSplit/>
          <w:tblHeader w:val="false"/>
        </w:trPr>
        <w:tc>
          <w:tcPr>
            <w:tcW w:type="dxa" w:w="2400"/>
            <w:tcMar>
              <w:top w:type="dxa" w:w="70"/>
              <w:left w:type="dxa" w:w="100"/>
              <w:bottom w:type="dxa" w:w="70"/>
              <w:right w:type="dxa" w:w="100"/>
            </w:tcMar>
          </w:tcPr>
          <w:p>
            <w:pPr>
              <w:spacing w:after="30" w:before="30" w:line="232"/>
            </w:pPr>
            <w:r>
              <w:rPr>
                <w:rFonts w:ascii="Calibri" w:cs="Calibri" w:eastAsia="Calibri" w:hAnsi="Calibri"/>
                <w:sz w:val="19"/>
                <w:szCs w:val="19"/>
              </w:rPr>
              <w:t xml:space="preserve">Payments operations lead</w:t>
            </w:r>
          </w:p>
        </w:tc>
        <w:tc>
          <w:tcPr>
            <w:tcW w:type="dxa" w:w="3800"/>
            <w:tcMar>
              <w:top w:type="dxa" w:w="70"/>
              <w:left w:type="dxa" w:w="100"/>
              <w:bottom w:type="dxa" w:w="70"/>
              <w:right w:type="dxa" w:w="100"/>
            </w:tcMar>
          </w:tcPr>
          <w:p>
            <w:pPr>
              <w:spacing w:after="30" w:before="30" w:line="232"/>
            </w:pPr>
            <w:r>
              <w:rPr>
                <w:rFonts w:ascii="Calibri" w:cs="Calibri" w:eastAsia="Calibri" w:hAnsi="Calibri"/>
                <w:sz w:val="19"/>
                <w:szCs w:val="19"/>
              </w:rPr>
              <w:t xml:space="preserve">Cannot say how many requests were answered in the Nacha window, because the answers went out by phone.</w:t>
            </w:r>
          </w:p>
        </w:tc>
        <w:tc>
          <w:tcPr>
            <w:tcW w:type="dxa" w:w="3880"/>
            <w:tcMar>
              <w:top w:type="dxa" w:w="70"/>
              <w:left w:type="dxa" w:w="100"/>
              <w:bottom w:type="dxa" w:w="70"/>
              <w:right w:type="dxa" w:w="100"/>
            </w:tcMar>
          </w:tcPr>
          <w:p>
            <w:pPr>
              <w:spacing w:after="30" w:before="30" w:line="232"/>
            </w:pPr>
            <w:r>
              <w:rPr>
                <w:rFonts w:ascii="Calibri" w:cs="Calibri" w:eastAsia="Calibri" w:hAnsi="Calibri"/>
                <w:sz w:val="19"/>
                <w:szCs w:val="19"/>
              </w:rPr>
              <w:t xml:space="preserve">A single figure, backed by a verifiable record.</w:t>
            </w:r>
          </w:p>
        </w:tc>
      </w:tr>
      <w:tr>
        <w:trPr>
          <w:cantSplit/>
          <w:tblHeader w:val="false"/>
        </w:trPr>
        <w:tc>
          <w:tcPr>
            <w:tcW w:type="dxa" w:w="240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Compliance officer</w:t>
            </w:r>
          </w:p>
        </w:tc>
        <w:tc>
          <w:tcPr>
            <w:tcW w:type="dxa" w:w="380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Assembles evidence of the ten-banking-day obligation by hand, from mailboxes.</w:t>
            </w:r>
          </w:p>
        </w:tc>
        <w:tc>
          <w:tcPr>
            <w:tcW w:type="dxa" w:w="388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Exports a hash-chained record an examiner can verify independently.</w:t>
            </w:r>
          </w:p>
        </w:tc>
      </w:tr>
      <w:tr>
        <w:trPr>
          <w:cantSplit/>
          <w:tblHeader w:val="false"/>
        </w:trPr>
        <w:tc>
          <w:tcPr>
            <w:tcW w:type="dxa" w:w="2400"/>
            <w:tcMar>
              <w:top w:type="dxa" w:w="70"/>
              <w:left w:type="dxa" w:w="100"/>
              <w:bottom w:type="dxa" w:w="70"/>
              <w:right w:type="dxa" w:w="100"/>
            </w:tcMar>
          </w:tcPr>
          <w:p>
            <w:pPr>
              <w:spacing w:after="30" w:before="30" w:line="232"/>
            </w:pPr>
            <w:r>
              <w:rPr>
                <w:rFonts w:ascii="Calibri" w:cs="Calibri" w:eastAsia="Calibri" w:hAnsi="Calibri"/>
                <w:sz w:val="19"/>
                <w:szCs w:val="19"/>
              </w:rPr>
              <w:t xml:space="preserve">Financial crime investigator</w:t>
            </w:r>
          </w:p>
        </w:tc>
        <w:tc>
          <w:tcPr>
            <w:tcW w:type="dxa" w:w="3800"/>
            <w:tcMar>
              <w:top w:type="dxa" w:w="70"/>
              <w:left w:type="dxa" w:w="100"/>
              <w:bottom w:type="dxa" w:w="70"/>
              <w:right w:type="dxa" w:w="100"/>
            </w:tcMar>
          </w:tcPr>
          <w:p>
            <w:pPr>
              <w:spacing w:after="30" w:before="30" w:line="232"/>
            </w:pPr>
            <w:r>
              <w:rPr>
                <w:rFonts w:ascii="Calibri" w:cs="Calibri" w:eastAsia="Calibri" w:hAnsi="Calibri"/>
                <w:sz w:val="19"/>
                <w:szCs w:val="19"/>
              </w:rPr>
              <w:t xml:space="preserve">Sees each case alone; no view of which counterparties answer and which do not.</w:t>
            </w:r>
          </w:p>
        </w:tc>
        <w:tc>
          <w:tcPr>
            <w:tcW w:type="dxa" w:w="3880"/>
            <w:tcMar>
              <w:top w:type="dxa" w:w="70"/>
              <w:left w:type="dxa" w:w="100"/>
              <w:bottom w:type="dxa" w:w="70"/>
              <w:right w:type="dxa" w:w="100"/>
            </w:tcMar>
          </w:tcPr>
          <w:p>
            <w:pPr>
              <w:spacing w:after="30" w:before="30" w:line="232"/>
            </w:pPr>
            <w:r>
              <w:rPr>
                <w:rFonts w:ascii="Calibri" w:cs="Calibri" w:eastAsia="Calibri" w:hAnsi="Calibri"/>
                <w:sz w:val="19"/>
                <w:szCs w:val="19"/>
              </w:rPr>
              <w:t xml:space="preserve">Observed counterparty behaviour across all prior cases, described rather than rated.</w:t>
            </w:r>
          </w:p>
        </w:tc>
      </w:tr>
    </w:tbl>
    <w:p>
      <w:pPr>
        <w:spacing w:after="100"/>
      </w:pPr>
    </w:p>
    <w:p>
      <w:pPr>
        <w:keepNext/>
        <w:keepLines/>
        <w:spacing w:after="120" w:before="260" w:line="300"/>
        <w:outlineLvl w:val="0"/>
      </w:pPr>
      <w:bookmarkStart w:name="s6" w:id="1"/>
      <w:r>
        <w:rPr>
          <w:rFonts w:ascii="Calibri" w:cs="Calibri" w:eastAsia="Calibri" w:hAnsi="Calibri"/>
          <w:b/>
          <w:bCs/>
          <w:color w:val="1F3A5F"/>
          <w:sz w:val="28"/>
          <w:szCs w:val="28"/>
        </w:rPr>
        <w:t xml:space="preserve">6. How It Works</w:t>
      </w:r>
      <w:bookmarkEnd w:id="1"/>
    </w:p>
    <w:p>
      <w:pPr>
        <w:spacing w:after="120" w:line="264"/>
        <w:jc w:val="both"/>
      </w:pPr>
      <w:r>
        <w:rPr>
          <w:rFonts w:ascii="Calibri" w:cs="Calibri" w:eastAsia="Calibri" w:hAnsi="Calibri"/>
          <w:sz w:val="21"/>
          <w:szCs w:val="21"/>
        </w:rPr>
        <w:t xml:space="preserve">Four channels in, one case model, one clock, one ledger, and the rail’s own message back out.</w:t>
      </w:r>
    </w:p>
    <w:tbl>
      <w:tblPr>
        <w:tblW w:type="dxa" w:w="10080"/>
        <w:tblBorders>
          <w:top w:val="single" w:color="BBBBBB" w:sz="3"/>
          <w:left w:val="single" w:color="BBBBBB" w:sz="3"/>
          <w:bottom w:val="single" w:color="BBBBBB" w:sz="3"/>
          <w:right w:val="single" w:color="BBBBBB" w:sz="3"/>
          <w:insideH w:val="single" w:color="BBBBBB" w:sz="3"/>
          <w:insideV w:val="single" w:color="BBBBBB" w:sz="3"/>
        </w:tblBorders>
      </w:tblPr>
      <w:tblGrid>
        <w:gridCol w:w="1920"/>
        <w:gridCol w:w="8160"/>
      </w:tblGrid>
      <w:tr>
        <w:trPr>
          <w:cantSplit/>
          <w:tblHeader/>
        </w:trPr>
        <w:tc>
          <w:tcPr>
            <w:tcW w:type="dxa" w:w="1920"/>
            <w:shd w:fill="1F3A5F" w:color="auto" w:val="clear"/>
            <w:tcMar>
              <w:top w:type="dxa" w:w="70"/>
              <w:left w:type="dxa" w:w="100"/>
              <w:bottom w:type="dxa" w:w="70"/>
              <w:right w:type="dxa" w:w="100"/>
            </w:tcMar>
          </w:tcPr>
          <w:p>
            <w:pPr>
              <w:spacing w:after="30" w:before="30" w:line="232"/>
            </w:pPr>
            <w:r>
              <w:rPr>
                <w:rFonts w:ascii="Calibri" w:cs="Calibri" w:eastAsia="Calibri" w:hAnsi="Calibri"/>
                <w:b/>
                <w:bCs/>
                <w:color w:val="FFFFFF"/>
                <w:sz w:val="19"/>
                <w:szCs w:val="19"/>
              </w:rPr>
              <w:t xml:space="preserve">Stage</w:t>
            </w:r>
          </w:p>
        </w:tc>
        <w:tc>
          <w:tcPr>
            <w:tcW w:type="dxa" w:w="8160"/>
            <w:shd w:fill="1F3A5F" w:color="auto" w:val="clear"/>
            <w:tcMar>
              <w:top w:type="dxa" w:w="70"/>
              <w:left w:type="dxa" w:w="100"/>
              <w:bottom w:type="dxa" w:w="70"/>
              <w:right w:type="dxa" w:w="100"/>
            </w:tcMar>
          </w:tcPr>
          <w:p>
            <w:pPr>
              <w:spacing w:after="30" w:before="30" w:line="232"/>
            </w:pPr>
            <w:r>
              <w:rPr>
                <w:rFonts w:ascii="Calibri" w:cs="Calibri" w:eastAsia="Calibri" w:hAnsi="Calibri"/>
                <w:b/>
                <w:bCs/>
                <w:color w:val="FFFFFF"/>
                <w:sz w:val="19"/>
                <w:szCs w:val="19"/>
              </w:rPr>
              <w:t xml:space="preserve">What happens</w:t>
            </w:r>
          </w:p>
        </w:tc>
      </w:tr>
      <w:tr>
        <w:trPr>
          <w:cantSplit/>
          <w:tblHeader w:val="false"/>
        </w:trPr>
        <w:tc>
          <w:tcPr>
            <w:tcW w:type="dxa" w:w="1920"/>
            <w:tcMar>
              <w:top w:type="dxa" w:w="70"/>
              <w:left w:type="dxa" w:w="100"/>
              <w:bottom w:type="dxa" w:w="70"/>
              <w:right w:type="dxa" w:w="100"/>
            </w:tcMar>
          </w:tcPr>
          <w:p>
            <w:pPr>
              <w:spacing w:after="30" w:before="30" w:line="232"/>
            </w:pPr>
            <w:r>
              <w:rPr>
                <w:rFonts w:ascii="Calibri" w:cs="Calibri" w:eastAsia="Calibri" w:hAnsi="Calibri"/>
                <w:sz w:val="19"/>
                <w:szCs w:val="19"/>
              </w:rPr>
              <w:t xml:space="preserve">Intake</w:t>
            </w:r>
          </w:p>
        </w:tc>
        <w:tc>
          <w:tcPr>
            <w:tcW w:type="dxa" w:w="8160"/>
            <w:tcMar>
              <w:top w:type="dxa" w:w="70"/>
              <w:left w:type="dxa" w:w="100"/>
              <w:bottom w:type="dxa" w:w="70"/>
              <w:right w:type="dxa" w:w="100"/>
            </w:tcMar>
          </w:tcPr>
          <w:p>
            <w:pPr>
              <w:spacing w:after="30" w:before="30" w:line="232"/>
            </w:pPr>
            <w:r>
              <w:rPr>
                <w:rFonts w:ascii="Calibri" w:cs="Calibri" w:eastAsia="Calibri" w:hAnsi="Calibri"/>
                <w:sz w:val="19"/>
                <w:szCs w:val="19"/>
              </w:rPr>
              <w:t xml:space="preserve">camt.056 on FedNow, RTP or Fedwire; an R06 request on ACH; a Federal Reserve Exception Resolution Service case; or free text from an email or call note. Each has an adapter; all produce the same canonical case.</w:t>
            </w:r>
          </w:p>
        </w:tc>
      </w:tr>
      <w:tr>
        <w:trPr>
          <w:cantSplit/>
          <w:tblHeader w:val="false"/>
        </w:trPr>
        <w:tc>
          <w:tcPr>
            <w:tcW w:type="dxa" w:w="192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Normalisation</w:t>
            </w:r>
          </w:p>
        </w:tc>
        <w:tc>
          <w:tcPr>
            <w:tcW w:type="dxa" w:w="816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Rail-specific codes map to a small canonical set, and every native value is preserved so the original message can be reproduced byte for byte. Where the canonical reading and the native code disagree, the native code is the fact of record.</w:t>
            </w:r>
          </w:p>
        </w:tc>
      </w:tr>
      <w:tr>
        <w:trPr>
          <w:cantSplit/>
          <w:tblHeader w:val="false"/>
        </w:trPr>
        <w:tc>
          <w:tcPr>
            <w:tcW w:type="dxa" w:w="1920"/>
            <w:tcMar>
              <w:top w:type="dxa" w:w="70"/>
              <w:left w:type="dxa" w:w="100"/>
              <w:bottom w:type="dxa" w:w="70"/>
              <w:right w:type="dxa" w:w="100"/>
            </w:tcMar>
          </w:tcPr>
          <w:p>
            <w:pPr>
              <w:spacing w:after="30" w:before="30" w:line="232"/>
            </w:pPr>
            <w:r>
              <w:rPr>
                <w:rFonts w:ascii="Calibri" w:cs="Calibri" w:eastAsia="Calibri" w:hAnsi="Calibri"/>
                <w:sz w:val="19"/>
                <w:szCs w:val="19"/>
              </w:rPr>
              <w:t xml:space="preserve">Clock</w:t>
            </w:r>
          </w:p>
        </w:tc>
        <w:tc>
          <w:tcPr>
            <w:tcW w:type="dxa" w:w="8160"/>
            <w:tcMar>
              <w:top w:type="dxa" w:w="70"/>
              <w:left w:type="dxa" w:w="100"/>
              <w:bottom w:type="dxa" w:w="70"/>
              <w:right w:type="dxa" w:w="100"/>
            </w:tcMar>
          </w:tcPr>
          <w:p>
            <w:pPr>
              <w:spacing w:after="30" w:before="30" w:line="232"/>
            </w:pPr>
            <w:r>
              <w:rPr>
                <w:rFonts w:ascii="Calibri" w:cs="Calibri" w:eastAsia="Calibri" w:hAnsi="Calibri"/>
                <w:sz w:val="19"/>
                <w:szCs w:val="19"/>
              </w:rPr>
              <w:t xml:space="preserve">The deadline comes from the rail capability matrix (Appendix A), computed on the Federal Reserve banking-day calendar where the window is expressed in banking days. Every deadline is labelled with whether a rule or Interlock’s own policy set it.</w:t>
            </w:r>
          </w:p>
        </w:tc>
      </w:tr>
      <w:tr>
        <w:trPr>
          <w:cantSplit/>
          <w:tblHeader w:val="false"/>
        </w:trPr>
        <w:tc>
          <w:tcPr>
            <w:tcW w:type="dxa" w:w="192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Triage</w:t>
            </w:r>
          </w:p>
        </w:tc>
        <w:tc>
          <w:tcPr>
            <w:tcW w:type="dxa" w:w="816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Cases are ranked by expected recoverable value — the model in Section 8 — rather than by arrival. The ranking is shown with its reason.</w:t>
            </w:r>
          </w:p>
        </w:tc>
      </w:tr>
      <w:tr>
        <w:trPr>
          <w:cantSplit/>
          <w:tblHeader w:val="false"/>
        </w:trPr>
        <w:tc>
          <w:tcPr>
            <w:tcW w:type="dxa" w:w="1920"/>
            <w:tcMar>
              <w:top w:type="dxa" w:w="70"/>
              <w:left w:type="dxa" w:w="100"/>
              <w:bottom w:type="dxa" w:w="70"/>
              <w:right w:type="dxa" w:w="100"/>
            </w:tcMar>
          </w:tcPr>
          <w:p>
            <w:pPr>
              <w:spacing w:after="30" w:before="30" w:line="232"/>
            </w:pPr>
            <w:r>
              <w:rPr>
                <w:rFonts w:ascii="Calibri" w:cs="Calibri" w:eastAsia="Calibri" w:hAnsi="Calibri"/>
                <w:sz w:val="19"/>
                <w:szCs w:val="19"/>
              </w:rPr>
              <w:t xml:space="preserve">Disposition</w:t>
            </w:r>
          </w:p>
        </w:tc>
        <w:tc>
          <w:tcPr>
            <w:tcW w:type="dxa" w:w="8160"/>
            <w:tcMar>
              <w:top w:type="dxa" w:w="70"/>
              <w:left w:type="dxa" w:w="100"/>
              <w:bottom w:type="dxa" w:w="70"/>
              <w:right w:type="dxa" w:w="100"/>
            </w:tcMar>
          </w:tcPr>
          <w:p>
            <w:pPr>
              <w:spacing w:after="30" w:before="30" w:line="232"/>
            </w:pPr>
            <w:r>
              <w:rPr>
                <w:rFonts w:ascii="Calibri" w:cs="Calibri" w:eastAsia="Calibri" w:hAnsi="Calibri"/>
                <w:sz w:val="19"/>
                <w:szCs w:val="19"/>
              </w:rPr>
              <w:t xml:space="preserve">An identified operator records an outcome. The state machine offers no path to a closed case without one. Outcomes that will be quoted to a customer or a regulator require a stated basis.</w:t>
            </w:r>
          </w:p>
        </w:tc>
      </w:tr>
      <w:tr>
        <w:trPr>
          <w:cantSplit/>
          <w:tblHeader w:val="false"/>
        </w:trPr>
        <w:tc>
          <w:tcPr>
            <w:tcW w:type="dxa" w:w="192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Response</w:t>
            </w:r>
          </w:p>
        </w:tc>
        <w:tc>
          <w:tcPr>
            <w:tcW w:type="dxa" w:w="816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camt.029 back over the rail where the rail has one; a structured record where it does not. Every state change appends to a hash-chained ledger.</w:t>
            </w:r>
          </w:p>
        </w:tc>
      </w:tr>
      <w:tr>
        <w:trPr>
          <w:cantSplit/>
          <w:tblHeader w:val="false"/>
        </w:trPr>
        <w:tc>
          <w:tcPr>
            <w:tcW w:type="dxa" w:w="1920"/>
            <w:tcMar>
              <w:top w:type="dxa" w:w="70"/>
              <w:left w:type="dxa" w:w="100"/>
              <w:bottom w:type="dxa" w:w="70"/>
              <w:right w:type="dxa" w:w="100"/>
            </w:tcMar>
          </w:tcPr>
          <w:p>
            <w:pPr>
              <w:spacing w:after="30" w:before="30" w:line="232"/>
            </w:pPr>
            <w:r>
              <w:rPr>
                <w:rFonts w:ascii="Calibri" w:cs="Calibri" w:eastAsia="Calibri" w:hAnsi="Calibri"/>
                <w:sz w:val="19"/>
                <w:szCs w:val="19"/>
              </w:rPr>
              <w:t xml:space="preserve">Evidence</w:t>
            </w:r>
          </w:p>
        </w:tc>
        <w:tc>
          <w:tcPr>
            <w:tcW w:type="dxa" w:w="8160"/>
            <w:tcMar>
              <w:top w:type="dxa" w:w="70"/>
              <w:left w:type="dxa" w:w="100"/>
              <w:bottom w:type="dxa" w:w="70"/>
              <w:right w:type="dxa" w:w="100"/>
            </w:tcMar>
          </w:tcPr>
          <w:p>
            <w:pPr>
              <w:spacing w:after="30" w:before="30" w:line="232"/>
            </w:pPr>
            <w:r>
              <w:rPr>
                <w:rFonts w:ascii="Calibri" w:cs="Calibri" w:eastAsia="Calibri" w:hAnsi="Calibri"/>
                <w:sz w:val="19"/>
                <w:szCs w:val="19"/>
              </w:rPr>
              <w:t xml:space="preserve">An export proving each request was answered within its window, verifiable against the chain without access to our systems.</w:t>
            </w:r>
          </w:p>
        </w:tc>
      </w:tr>
    </w:tbl>
    <w:p>
      <w:pPr>
        <w:spacing w:after="100"/>
      </w:pPr>
    </w:p>
    <w:p>
      <w:pPr>
        <w:keepNext/>
        <w:keepLines/>
        <w:spacing w:after="80" w:before="180" w:line="270"/>
        <w:outlineLvl w:val="2"/>
      </w:pPr>
      <w:r>
        <w:rPr>
          <w:rFonts w:ascii="Calibri" w:cs="Calibri" w:eastAsia="Calibri" w:hAnsi="Calibri"/>
          <w:b/>
          <w:bCs/>
          <w:color w:val="1F4D78"/>
          <w:sz w:val="22"/>
          <w:szCs w:val="22"/>
        </w:rPr>
        <w:t xml:space="preserve">Where the free-text path stops</w:t>
      </w:r>
    </w:p>
    <w:p>
      <w:pPr>
        <w:spacing w:after="120" w:line="264"/>
        <w:jc w:val="both"/>
      </w:pPr>
      <w:r>
        <w:rPr>
          <w:rFonts w:ascii="Calibri" w:cs="Calibri" w:eastAsia="Calibri" w:hAnsi="Calibri"/>
          <w:sz w:val="21"/>
          <w:szCs w:val="21"/>
        </w:rPr>
        <w:t xml:space="preserve">Extraction from an email produces a </w:t>
      </w:r>
      <w:r>
        <w:rPr>
          <w:rFonts w:ascii="Calibri" w:cs="Calibri" w:eastAsia="Calibri" w:hAnsi="Calibri"/>
          <w:i/>
          <w:iCs/>
          <w:sz w:val="21"/>
          <w:szCs w:val="21"/>
        </w:rPr>
        <w:t xml:space="preserve">draft</w:t>
      </w:r>
      <w:r>
        <w:rPr>
          <w:rFonts w:ascii="Calibri" w:cs="Calibri" w:eastAsia="Calibri" w:hAnsi="Calibri"/>
          <w:sz w:val="21"/>
          <w:szCs w:val="21"/>
        </w:rPr>
        <w:t xml:space="preserve">, never a case. The only route from a draft to a filed case requires an operator identifier, and there is no confidence threshold, trusted-sender rule or configuration flag that bypasses it. A model confident enough to file automatically is a model whose failures reach a counterparty as a formal claim against a named customer’s account.</w:t>
      </w:r>
    </w:p>
    <w:p>
      <w:pPr>
        <w:keepNext/>
        <w:keepLines/>
        <w:spacing w:after="120" w:before="260" w:line="300"/>
        <w:outlineLvl w:val="0"/>
      </w:pPr>
      <w:bookmarkStart w:name="s7" w:id="1"/>
      <w:r>
        <w:rPr>
          <w:rFonts w:ascii="Calibri" w:cs="Calibri" w:eastAsia="Calibri" w:hAnsi="Calibri"/>
          <w:b/>
          <w:bCs/>
          <w:color w:val="1F3A5F"/>
          <w:sz w:val="28"/>
          <w:szCs w:val="28"/>
        </w:rPr>
        <w:t xml:space="preserve">7. Requirements</w:t>
      </w:r>
      <w:bookmarkEnd w:id="1"/>
    </w:p>
    <w:p>
      <w:pPr>
        <w:keepNext/>
        <w:keepLines/>
        <w:spacing w:after="80" w:before="180" w:line="270"/>
        <w:outlineLvl w:val="2"/>
      </w:pPr>
      <w:r>
        <w:rPr>
          <w:rFonts w:ascii="Calibri" w:cs="Calibri" w:eastAsia="Calibri" w:hAnsi="Calibri"/>
          <w:b/>
          <w:bCs/>
          <w:color w:val="1F4D78"/>
          <w:sz w:val="22"/>
          <w:szCs w:val="22"/>
        </w:rPr>
        <w:t xml:space="preserve">Functional</w:t>
      </w:r>
    </w:p>
    <w:tbl>
      <w:tblPr>
        <w:tblW w:type="dxa" w:w="10080"/>
        <w:tblBorders>
          <w:top w:val="single" w:color="BBBBBB" w:sz="3"/>
          <w:left w:val="single" w:color="BBBBBB" w:sz="3"/>
          <w:bottom w:val="single" w:color="BBBBBB" w:sz="3"/>
          <w:right w:val="single" w:color="BBBBBB" w:sz="3"/>
          <w:insideH w:val="single" w:color="BBBBBB" w:sz="3"/>
          <w:insideV w:val="single" w:color="BBBBBB" w:sz="3"/>
        </w:tblBorders>
      </w:tblPr>
      <w:tblGrid>
        <w:gridCol w:w="920"/>
        <w:gridCol w:w="8000"/>
        <w:gridCol w:w="1160"/>
      </w:tblGrid>
      <w:tr>
        <w:trPr>
          <w:cantSplit/>
          <w:tblHeader/>
        </w:trPr>
        <w:tc>
          <w:tcPr>
            <w:tcW w:type="dxa" w:w="920"/>
            <w:shd w:fill="1F3A5F" w:color="auto" w:val="clear"/>
            <w:tcMar>
              <w:top w:type="dxa" w:w="70"/>
              <w:left w:type="dxa" w:w="100"/>
              <w:bottom w:type="dxa" w:w="70"/>
              <w:right w:type="dxa" w:w="100"/>
            </w:tcMar>
          </w:tcPr>
          <w:p>
            <w:pPr>
              <w:spacing w:after="30" w:before="30" w:line="232"/>
            </w:pPr>
            <w:r>
              <w:rPr>
                <w:rFonts w:ascii="Calibri" w:cs="Calibri" w:eastAsia="Calibri" w:hAnsi="Calibri"/>
                <w:b/>
                <w:bCs/>
                <w:color w:val="FFFFFF"/>
                <w:sz w:val="19"/>
                <w:szCs w:val="19"/>
              </w:rPr>
              <w:t xml:space="preserve">ID</w:t>
            </w:r>
          </w:p>
        </w:tc>
        <w:tc>
          <w:tcPr>
            <w:tcW w:type="dxa" w:w="8000"/>
            <w:shd w:fill="1F3A5F" w:color="auto" w:val="clear"/>
            <w:tcMar>
              <w:top w:type="dxa" w:w="70"/>
              <w:left w:type="dxa" w:w="100"/>
              <w:bottom w:type="dxa" w:w="70"/>
              <w:right w:type="dxa" w:w="100"/>
            </w:tcMar>
          </w:tcPr>
          <w:p>
            <w:pPr>
              <w:spacing w:after="30" w:before="30" w:line="232"/>
            </w:pPr>
            <w:r>
              <w:rPr>
                <w:rFonts w:ascii="Calibri" w:cs="Calibri" w:eastAsia="Calibri" w:hAnsi="Calibri"/>
                <w:b/>
                <w:bCs/>
                <w:color w:val="FFFFFF"/>
                <w:sz w:val="19"/>
                <w:szCs w:val="19"/>
              </w:rPr>
              <w:t xml:space="preserve">Requirement</w:t>
            </w:r>
          </w:p>
        </w:tc>
        <w:tc>
          <w:tcPr>
            <w:tcW w:type="dxa" w:w="1160"/>
            <w:shd w:fill="1F3A5F" w:color="auto" w:val="clear"/>
            <w:tcMar>
              <w:top w:type="dxa" w:w="70"/>
              <w:left w:type="dxa" w:w="100"/>
              <w:bottom w:type="dxa" w:w="70"/>
              <w:right w:type="dxa" w:w="100"/>
            </w:tcMar>
          </w:tcPr>
          <w:p>
            <w:pPr>
              <w:spacing w:after="30" w:before="30" w:line="232"/>
            </w:pPr>
            <w:r>
              <w:rPr>
                <w:rFonts w:ascii="Calibri" w:cs="Calibri" w:eastAsia="Calibri" w:hAnsi="Calibri"/>
                <w:b/>
                <w:bCs/>
                <w:color w:val="FFFFFF"/>
                <w:sz w:val="19"/>
                <w:szCs w:val="19"/>
              </w:rPr>
              <w:t xml:space="preserve">Priority</w:t>
            </w:r>
          </w:p>
        </w:tc>
      </w:tr>
      <w:tr>
        <w:trPr>
          <w:cantSplit/>
          <w:tblHeader w:val="false"/>
        </w:trPr>
        <w:tc>
          <w:tcPr>
            <w:tcW w:type="dxa" w:w="920"/>
            <w:tcMar>
              <w:top w:type="dxa" w:w="70"/>
              <w:left w:type="dxa" w:w="100"/>
              <w:bottom w:type="dxa" w:w="70"/>
              <w:right w:type="dxa" w:w="100"/>
            </w:tcMar>
          </w:tcPr>
          <w:p>
            <w:pPr>
              <w:spacing w:after="30" w:before="30" w:line="232"/>
            </w:pPr>
            <w:r>
              <w:rPr>
                <w:rFonts w:ascii="Calibri" w:cs="Calibri" w:eastAsia="Calibri" w:hAnsi="Calibri"/>
                <w:sz w:val="19"/>
                <w:szCs w:val="19"/>
              </w:rPr>
              <w:t xml:space="preserve">FR-1</w:t>
            </w:r>
          </w:p>
        </w:tc>
        <w:tc>
          <w:tcPr>
            <w:tcW w:type="dxa" w:w="8000"/>
            <w:tcMar>
              <w:top w:type="dxa" w:w="70"/>
              <w:left w:type="dxa" w:w="100"/>
              <w:bottom w:type="dxa" w:w="70"/>
              <w:right w:type="dxa" w:w="100"/>
            </w:tcMar>
          </w:tcPr>
          <w:p>
            <w:pPr>
              <w:spacing w:after="30" w:before="30" w:line="232"/>
            </w:pPr>
            <w:r>
              <w:rPr>
                <w:rFonts w:ascii="Calibri" w:cs="Calibri" w:eastAsia="Calibri" w:hAnsi="Calibri"/>
                <w:sz w:val="19"/>
                <w:szCs w:val="19"/>
              </w:rPr>
              <w:t xml:space="preserve">Normalise camt.056, camt.029, ACH R06 requests, ACH return addenda records and free text into one canonical case model, preserving every native value.</w:t>
            </w:r>
          </w:p>
        </w:tc>
        <w:tc>
          <w:tcPr>
            <w:tcW w:type="dxa" w:w="1160"/>
            <w:tcMar>
              <w:top w:type="dxa" w:w="70"/>
              <w:left w:type="dxa" w:w="100"/>
              <w:bottom w:type="dxa" w:w="70"/>
              <w:right w:type="dxa" w:w="100"/>
            </w:tcMar>
          </w:tcPr>
          <w:p>
            <w:pPr>
              <w:spacing w:after="30" w:before="30" w:line="232"/>
            </w:pPr>
            <w:r>
              <w:rPr>
                <w:rFonts w:ascii="Calibri" w:cs="Calibri" w:eastAsia="Calibri" w:hAnsi="Calibri"/>
                <w:sz w:val="19"/>
                <w:szCs w:val="19"/>
              </w:rPr>
              <w:t xml:space="preserve">P0</w:t>
            </w:r>
          </w:p>
        </w:tc>
      </w:tr>
      <w:tr>
        <w:trPr>
          <w:cantSplit/>
          <w:tblHeader w:val="false"/>
        </w:trPr>
        <w:tc>
          <w:tcPr>
            <w:tcW w:type="dxa" w:w="92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FR-2</w:t>
            </w:r>
          </w:p>
        </w:tc>
        <w:tc>
          <w:tcPr>
            <w:tcW w:type="dxa" w:w="800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Reproduce any parsed message byte for byte on emit; parse real-world variants — differing namespace prefixes, whitespace, line endings, timestamp offsets — to the same case.</w:t>
            </w:r>
          </w:p>
        </w:tc>
        <w:tc>
          <w:tcPr>
            <w:tcW w:type="dxa" w:w="116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P0</w:t>
            </w:r>
          </w:p>
        </w:tc>
      </w:tr>
      <w:tr>
        <w:trPr>
          <w:cantSplit/>
          <w:tblHeader w:val="false"/>
        </w:trPr>
        <w:tc>
          <w:tcPr>
            <w:tcW w:type="dxa" w:w="920"/>
            <w:tcMar>
              <w:top w:type="dxa" w:w="70"/>
              <w:left w:type="dxa" w:w="100"/>
              <w:bottom w:type="dxa" w:w="70"/>
              <w:right w:type="dxa" w:w="100"/>
            </w:tcMar>
          </w:tcPr>
          <w:p>
            <w:pPr>
              <w:spacing w:after="30" w:before="30" w:line="232"/>
            </w:pPr>
            <w:r>
              <w:rPr>
                <w:rFonts w:ascii="Calibri" w:cs="Calibri" w:eastAsia="Calibri" w:hAnsi="Calibri"/>
                <w:sz w:val="19"/>
                <w:szCs w:val="19"/>
              </w:rPr>
              <w:t xml:space="preserve">FR-3</w:t>
            </w:r>
          </w:p>
        </w:tc>
        <w:tc>
          <w:tcPr>
            <w:tcW w:type="dxa" w:w="8000"/>
            <w:tcMar>
              <w:top w:type="dxa" w:w="70"/>
              <w:left w:type="dxa" w:w="100"/>
              <w:bottom w:type="dxa" w:w="70"/>
              <w:right w:type="dxa" w:w="100"/>
            </w:tcMar>
          </w:tcPr>
          <w:p>
            <w:pPr>
              <w:spacing w:after="30" w:before="30" w:line="232"/>
            </w:pPr>
            <w:r>
              <w:rPr>
                <w:rFonts w:ascii="Calibri" w:cs="Calibri" w:eastAsia="Calibri" w:hAnsi="Calibri"/>
                <w:sz w:val="19"/>
                <w:szCs w:val="19"/>
              </w:rPr>
              <w:t xml:space="preserve">Hold every rail rule in one place, each carrying its source and a confidence level. Code depending on a rule not confirmed at a primary source must fail rather than proceed.</w:t>
            </w:r>
          </w:p>
        </w:tc>
        <w:tc>
          <w:tcPr>
            <w:tcW w:type="dxa" w:w="1160"/>
            <w:tcMar>
              <w:top w:type="dxa" w:w="70"/>
              <w:left w:type="dxa" w:w="100"/>
              <w:bottom w:type="dxa" w:w="70"/>
              <w:right w:type="dxa" w:w="100"/>
            </w:tcMar>
          </w:tcPr>
          <w:p>
            <w:pPr>
              <w:spacing w:after="30" w:before="30" w:line="232"/>
            </w:pPr>
            <w:r>
              <w:rPr>
                <w:rFonts w:ascii="Calibri" w:cs="Calibri" w:eastAsia="Calibri" w:hAnsi="Calibri"/>
                <w:sz w:val="19"/>
                <w:szCs w:val="19"/>
              </w:rPr>
              <w:t xml:space="preserve">P0</w:t>
            </w:r>
          </w:p>
        </w:tc>
      </w:tr>
      <w:tr>
        <w:trPr>
          <w:cantSplit/>
          <w:tblHeader w:val="false"/>
        </w:trPr>
        <w:tc>
          <w:tcPr>
            <w:tcW w:type="dxa" w:w="92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FR-4</w:t>
            </w:r>
          </w:p>
        </w:tc>
        <w:tc>
          <w:tcPr>
            <w:tcW w:type="dxa" w:w="800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Compute deadlines on the Federal Reserve banking-day calendar, observing that a holiday falling on Saturday leaves Reserve Banks open the preceding Friday while one falling on Sunday closes them the following Monday.</w:t>
            </w:r>
          </w:p>
        </w:tc>
        <w:tc>
          <w:tcPr>
            <w:tcW w:type="dxa" w:w="116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P0</w:t>
            </w:r>
          </w:p>
        </w:tc>
      </w:tr>
      <w:tr>
        <w:trPr>
          <w:cantSplit/>
          <w:tblHeader w:val="false"/>
        </w:trPr>
        <w:tc>
          <w:tcPr>
            <w:tcW w:type="dxa" w:w="920"/>
            <w:tcMar>
              <w:top w:type="dxa" w:w="70"/>
              <w:left w:type="dxa" w:w="100"/>
              <w:bottom w:type="dxa" w:w="70"/>
              <w:right w:type="dxa" w:w="100"/>
            </w:tcMar>
          </w:tcPr>
          <w:p>
            <w:pPr>
              <w:spacing w:after="30" w:before="30" w:line="232"/>
            </w:pPr>
            <w:r>
              <w:rPr>
                <w:rFonts w:ascii="Calibri" w:cs="Calibri" w:eastAsia="Calibri" w:hAnsi="Calibri"/>
                <w:sz w:val="19"/>
                <w:szCs w:val="19"/>
              </w:rPr>
              <w:t xml:space="preserve">FR-5</w:t>
            </w:r>
          </w:p>
        </w:tc>
        <w:tc>
          <w:tcPr>
            <w:tcW w:type="dxa" w:w="8000"/>
            <w:tcMar>
              <w:top w:type="dxa" w:w="70"/>
              <w:left w:type="dxa" w:w="100"/>
              <w:bottom w:type="dxa" w:w="70"/>
              <w:right w:type="dxa" w:w="100"/>
            </w:tcMar>
          </w:tcPr>
          <w:p>
            <w:pPr>
              <w:spacing w:after="30" w:before="30" w:line="232"/>
            </w:pPr>
            <w:r>
              <w:rPr>
                <w:rFonts w:ascii="Calibri" w:cs="Calibri" w:eastAsia="Calibri" w:hAnsi="Calibri"/>
                <w:sz w:val="19"/>
                <w:szCs w:val="19"/>
              </w:rPr>
              <w:t xml:space="preserve">Offer no state transition that reaches a closed case without a recorded disposition. Window expiry is a disposition requiring acknowledgement.</w:t>
            </w:r>
          </w:p>
        </w:tc>
        <w:tc>
          <w:tcPr>
            <w:tcW w:type="dxa" w:w="1160"/>
            <w:tcMar>
              <w:top w:type="dxa" w:w="70"/>
              <w:left w:type="dxa" w:w="100"/>
              <w:bottom w:type="dxa" w:w="70"/>
              <w:right w:type="dxa" w:w="100"/>
            </w:tcMar>
          </w:tcPr>
          <w:p>
            <w:pPr>
              <w:spacing w:after="30" w:before="30" w:line="232"/>
            </w:pPr>
            <w:r>
              <w:rPr>
                <w:rFonts w:ascii="Calibri" w:cs="Calibri" w:eastAsia="Calibri" w:hAnsi="Calibri"/>
                <w:sz w:val="19"/>
                <w:szCs w:val="19"/>
              </w:rPr>
              <w:t xml:space="preserve">P0</w:t>
            </w:r>
          </w:p>
        </w:tc>
      </w:tr>
      <w:tr>
        <w:trPr>
          <w:cantSplit/>
          <w:tblHeader w:val="false"/>
        </w:trPr>
        <w:tc>
          <w:tcPr>
            <w:tcW w:type="dxa" w:w="92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FR-6</w:t>
            </w:r>
          </w:p>
        </w:tc>
        <w:tc>
          <w:tcPr>
            <w:tcW w:type="dxa" w:w="800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Require a stated basis for any disposition that will be quoted to a customer or regulator.</w:t>
            </w:r>
          </w:p>
        </w:tc>
        <w:tc>
          <w:tcPr>
            <w:tcW w:type="dxa" w:w="116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P0</w:t>
            </w:r>
          </w:p>
        </w:tc>
      </w:tr>
      <w:tr>
        <w:trPr>
          <w:cantSplit/>
          <w:tblHeader w:val="false"/>
        </w:trPr>
        <w:tc>
          <w:tcPr>
            <w:tcW w:type="dxa" w:w="920"/>
            <w:tcMar>
              <w:top w:type="dxa" w:w="70"/>
              <w:left w:type="dxa" w:w="100"/>
              <w:bottom w:type="dxa" w:w="70"/>
              <w:right w:type="dxa" w:w="100"/>
            </w:tcMar>
          </w:tcPr>
          <w:p>
            <w:pPr>
              <w:spacing w:after="30" w:before="30" w:line="232"/>
            </w:pPr>
            <w:r>
              <w:rPr>
                <w:rFonts w:ascii="Calibri" w:cs="Calibri" w:eastAsia="Calibri" w:hAnsi="Calibri"/>
                <w:sz w:val="19"/>
                <w:szCs w:val="19"/>
              </w:rPr>
              <w:t xml:space="preserve">FR-7</w:t>
            </w:r>
          </w:p>
        </w:tc>
        <w:tc>
          <w:tcPr>
            <w:tcW w:type="dxa" w:w="8000"/>
            <w:tcMar>
              <w:top w:type="dxa" w:w="70"/>
              <w:left w:type="dxa" w:w="100"/>
              <w:bottom w:type="dxa" w:w="70"/>
              <w:right w:type="dxa" w:w="100"/>
            </w:tcMar>
          </w:tcPr>
          <w:p>
            <w:pPr>
              <w:spacing w:after="30" w:before="30" w:line="232"/>
            </w:pPr>
            <w:r>
              <w:rPr>
                <w:rFonts w:ascii="Calibri" w:cs="Calibri" w:eastAsia="Calibri" w:hAnsi="Calibri"/>
                <w:sz w:val="19"/>
                <w:szCs w:val="19"/>
              </w:rPr>
              <w:t xml:space="preserve">Append every state change to a hash-chained ledger in which any edit is detectable.</w:t>
            </w:r>
          </w:p>
        </w:tc>
        <w:tc>
          <w:tcPr>
            <w:tcW w:type="dxa" w:w="1160"/>
            <w:tcMar>
              <w:top w:type="dxa" w:w="70"/>
              <w:left w:type="dxa" w:w="100"/>
              <w:bottom w:type="dxa" w:w="70"/>
              <w:right w:type="dxa" w:w="100"/>
            </w:tcMar>
          </w:tcPr>
          <w:p>
            <w:pPr>
              <w:spacing w:after="30" w:before="30" w:line="232"/>
            </w:pPr>
            <w:r>
              <w:rPr>
                <w:rFonts w:ascii="Calibri" w:cs="Calibri" w:eastAsia="Calibri" w:hAnsi="Calibri"/>
                <w:sz w:val="19"/>
                <w:szCs w:val="19"/>
              </w:rPr>
              <w:t xml:space="preserve">P0</w:t>
            </w:r>
          </w:p>
        </w:tc>
      </w:tr>
      <w:tr>
        <w:trPr>
          <w:cantSplit/>
          <w:tblHeader w:val="false"/>
        </w:trPr>
        <w:tc>
          <w:tcPr>
            <w:tcW w:type="dxa" w:w="92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FR-8</w:t>
            </w:r>
          </w:p>
        </w:tc>
        <w:tc>
          <w:tcPr>
            <w:tcW w:type="dxa" w:w="800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Export compliance evidence verifiable by a third party without access to the running system.</w:t>
            </w:r>
          </w:p>
        </w:tc>
        <w:tc>
          <w:tcPr>
            <w:tcW w:type="dxa" w:w="116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P0</w:t>
            </w:r>
          </w:p>
        </w:tc>
      </w:tr>
      <w:tr>
        <w:trPr>
          <w:cantSplit/>
          <w:tblHeader w:val="false"/>
        </w:trPr>
        <w:tc>
          <w:tcPr>
            <w:tcW w:type="dxa" w:w="920"/>
            <w:tcMar>
              <w:top w:type="dxa" w:w="70"/>
              <w:left w:type="dxa" w:w="100"/>
              <w:bottom w:type="dxa" w:w="70"/>
              <w:right w:type="dxa" w:w="100"/>
            </w:tcMar>
          </w:tcPr>
          <w:p>
            <w:pPr>
              <w:spacing w:after="30" w:before="30" w:line="232"/>
            </w:pPr>
            <w:r>
              <w:rPr>
                <w:rFonts w:ascii="Calibri" w:cs="Calibri" w:eastAsia="Calibri" w:hAnsi="Calibri"/>
                <w:sz w:val="19"/>
                <w:szCs w:val="19"/>
              </w:rPr>
              <w:t xml:space="preserve">FR-9</w:t>
            </w:r>
          </w:p>
        </w:tc>
        <w:tc>
          <w:tcPr>
            <w:tcW w:type="dxa" w:w="8000"/>
            <w:tcMar>
              <w:top w:type="dxa" w:w="70"/>
              <w:left w:type="dxa" w:w="100"/>
              <w:bottom w:type="dxa" w:w="70"/>
              <w:right w:type="dxa" w:w="100"/>
            </w:tcMar>
          </w:tcPr>
          <w:p>
            <w:pPr>
              <w:spacing w:after="30" w:before="30" w:line="232"/>
            </w:pPr>
            <w:r>
              <w:rPr>
                <w:rFonts w:ascii="Calibri" w:cs="Calibri" w:eastAsia="Calibri" w:hAnsi="Calibri"/>
                <w:sz w:val="19"/>
                <w:szCs w:val="19"/>
              </w:rPr>
              <w:t xml:space="preserve">Rank the open queue by expected recoverable value, showing the reason for each ranking.</w:t>
            </w:r>
          </w:p>
        </w:tc>
        <w:tc>
          <w:tcPr>
            <w:tcW w:type="dxa" w:w="1160"/>
            <w:tcMar>
              <w:top w:type="dxa" w:w="70"/>
              <w:left w:type="dxa" w:w="100"/>
              <w:bottom w:type="dxa" w:w="70"/>
              <w:right w:type="dxa" w:w="100"/>
            </w:tcMar>
          </w:tcPr>
          <w:p>
            <w:pPr>
              <w:spacing w:after="30" w:before="30" w:line="232"/>
            </w:pPr>
            <w:r>
              <w:rPr>
                <w:rFonts w:ascii="Calibri" w:cs="Calibri" w:eastAsia="Calibri" w:hAnsi="Calibri"/>
                <w:sz w:val="19"/>
                <w:szCs w:val="19"/>
              </w:rPr>
              <w:t xml:space="preserve">P1</w:t>
            </w:r>
          </w:p>
        </w:tc>
      </w:tr>
      <w:tr>
        <w:trPr>
          <w:cantSplit/>
          <w:tblHeader w:val="false"/>
        </w:trPr>
        <w:tc>
          <w:tcPr>
            <w:tcW w:type="dxa" w:w="92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FR-10</w:t>
            </w:r>
          </w:p>
        </w:tc>
        <w:tc>
          <w:tcPr>
            <w:tcW w:type="dxa" w:w="800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Extract a draft case from free text, with per-field confidence and the evidence span, and abstain rather than guess. No path to a filed case without an identified operator.</w:t>
            </w:r>
          </w:p>
        </w:tc>
        <w:tc>
          <w:tcPr>
            <w:tcW w:type="dxa" w:w="116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P1</w:t>
            </w:r>
          </w:p>
        </w:tc>
      </w:tr>
      <w:tr>
        <w:trPr>
          <w:cantSplit/>
          <w:tblHeader w:val="false"/>
        </w:trPr>
        <w:tc>
          <w:tcPr>
            <w:tcW w:type="dxa" w:w="920"/>
            <w:tcMar>
              <w:top w:type="dxa" w:w="70"/>
              <w:left w:type="dxa" w:w="100"/>
              <w:bottom w:type="dxa" w:w="70"/>
              <w:right w:type="dxa" w:w="100"/>
            </w:tcMar>
          </w:tcPr>
          <w:p>
            <w:pPr>
              <w:spacing w:after="30" w:before="30" w:line="232"/>
            </w:pPr>
            <w:r>
              <w:rPr>
                <w:rFonts w:ascii="Calibri" w:cs="Calibri" w:eastAsia="Calibri" w:hAnsi="Calibri"/>
                <w:sz w:val="19"/>
                <w:szCs w:val="19"/>
              </w:rPr>
              <w:t xml:space="preserve">FR-11</w:t>
            </w:r>
          </w:p>
        </w:tc>
        <w:tc>
          <w:tcPr>
            <w:tcW w:type="dxa" w:w="8000"/>
            <w:tcMar>
              <w:top w:type="dxa" w:w="70"/>
              <w:left w:type="dxa" w:w="100"/>
              <w:bottom w:type="dxa" w:w="70"/>
              <w:right w:type="dxa" w:w="100"/>
            </w:tcMar>
          </w:tcPr>
          <w:p>
            <w:pPr>
              <w:spacing w:after="30" w:before="30" w:line="232"/>
            </w:pPr>
            <w:r>
              <w:rPr>
                <w:rFonts w:ascii="Calibri" w:cs="Calibri" w:eastAsia="Calibri" w:hAnsi="Calibri"/>
                <w:sz w:val="19"/>
                <w:szCs w:val="19"/>
              </w:rPr>
              <w:t xml:space="preserve">Report observed counterparty response behaviour descriptively, never as a rating of an institution.</w:t>
            </w:r>
          </w:p>
        </w:tc>
        <w:tc>
          <w:tcPr>
            <w:tcW w:type="dxa" w:w="1160"/>
            <w:tcMar>
              <w:top w:type="dxa" w:w="70"/>
              <w:left w:type="dxa" w:w="100"/>
              <w:bottom w:type="dxa" w:w="70"/>
              <w:right w:type="dxa" w:w="100"/>
            </w:tcMar>
          </w:tcPr>
          <w:p>
            <w:pPr>
              <w:spacing w:after="30" w:before="30" w:line="232"/>
            </w:pPr>
            <w:r>
              <w:rPr>
                <w:rFonts w:ascii="Calibri" w:cs="Calibri" w:eastAsia="Calibri" w:hAnsi="Calibri"/>
                <w:sz w:val="19"/>
                <w:szCs w:val="19"/>
              </w:rPr>
              <w:t xml:space="preserve">P1</w:t>
            </w:r>
          </w:p>
        </w:tc>
      </w:tr>
      <w:tr>
        <w:trPr>
          <w:cantSplit/>
          <w:tblHeader w:val="false"/>
        </w:trPr>
        <w:tc>
          <w:tcPr>
            <w:tcW w:type="dxa" w:w="92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FR-12</w:t>
            </w:r>
          </w:p>
        </w:tc>
        <w:tc>
          <w:tcPr>
            <w:tcW w:type="dxa" w:w="800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Exchange cases machine-to-machine between two Interlock instances, with single-instance operation provably unaffected.</w:t>
            </w:r>
          </w:p>
        </w:tc>
        <w:tc>
          <w:tcPr>
            <w:tcW w:type="dxa" w:w="116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P2</w:t>
            </w:r>
          </w:p>
        </w:tc>
      </w:tr>
    </w:tbl>
    <w:p>
      <w:pPr>
        <w:spacing w:after="100"/>
      </w:pPr>
    </w:p>
    <w:p>
      <w:pPr>
        <w:keepNext/>
        <w:keepLines/>
        <w:spacing w:after="80" w:before="180" w:line="270"/>
        <w:outlineLvl w:val="2"/>
      </w:pPr>
      <w:r>
        <w:rPr>
          <w:rFonts w:ascii="Calibri" w:cs="Calibri" w:eastAsia="Calibri" w:hAnsi="Calibri"/>
          <w:b/>
          <w:bCs/>
          <w:color w:val="1F4D78"/>
          <w:sz w:val="22"/>
          <w:szCs w:val="22"/>
        </w:rPr>
        <w:t xml:space="preserve">Non-functional</w:t>
      </w:r>
    </w:p>
    <w:tbl>
      <w:tblPr>
        <w:tblW w:type="dxa" w:w="10080"/>
        <w:tblBorders>
          <w:top w:val="single" w:color="BBBBBB" w:sz="3"/>
          <w:left w:val="single" w:color="BBBBBB" w:sz="3"/>
          <w:bottom w:val="single" w:color="BBBBBB" w:sz="3"/>
          <w:right w:val="single" w:color="BBBBBB" w:sz="3"/>
          <w:insideH w:val="single" w:color="BBBBBB" w:sz="3"/>
          <w:insideV w:val="single" w:color="BBBBBB" w:sz="3"/>
        </w:tblBorders>
      </w:tblPr>
      <w:tblGrid>
        <w:gridCol w:w="1000"/>
        <w:gridCol w:w="9080"/>
      </w:tblGrid>
      <w:tr>
        <w:trPr>
          <w:cantSplit/>
          <w:tblHeader/>
        </w:trPr>
        <w:tc>
          <w:tcPr>
            <w:tcW w:type="dxa" w:w="1000"/>
            <w:shd w:fill="1F3A5F" w:color="auto" w:val="clear"/>
            <w:tcMar>
              <w:top w:type="dxa" w:w="70"/>
              <w:left w:type="dxa" w:w="100"/>
              <w:bottom w:type="dxa" w:w="70"/>
              <w:right w:type="dxa" w:w="100"/>
            </w:tcMar>
          </w:tcPr>
          <w:p>
            <w:pPr>
              <w:spacing w:after="30" w:before="30" w:line="232"/>
            </w:pPr>
            <w:r>
              <w:rPr>
                <w:rFonts w:ascii="Calibri" w:cs="Calibri" w:eastAsia="Calibri" w:hAnsi="Calibri"/>
                <w:b/>
                <w:bCs/>
                <w:color w:val="FFFFFF"/>
                <w:sz w:val="19"/>
                <w:szCs w:val="19"/>
              </w:rPr>
              <w:t xml:space="preserve">ID</w:t>
            </w:r>
          </w:p>
        </w:tc>
        <w:tc>
          <w:tcPr>
            <w:tcW w:type="dxa" w:w="9080"/>
            <w:shd w:fill="1F3A5F" w:color="auto" w:val="clear"/>
            <w:tcMar>
              <w:top w:type="dxa" w:w="70"/>
              <w:left w:type="dxa" w:w="100"/>
              <w:bottom w:type="dxa" w:w="70"/>
              <w:right w:type="dxa" w:w="100"/>
            </w:tcMar>
          </w:tcPr>
          <w:p>
            <w:pPr>
              <w:spacing w:after="30" w:before="30" w:line="232"/>
            </w:pPr>
            <w:r>
              <w:rPr>
                <w:rFonts w:ascii="Calibri" w:cs="Calibri" w:eastAsia="Calibri" w:hAnsi="Calibri"/>
                <w:b/>
                <w:bCs/>
                <w:color w:val="FFFFFF"/>
                <w:sz w:val="19"/>
                <w:szCs w:val="19"/>
              </w:rPr>
              <w:t xml:space="preserve">Requirement</w:t>
            </w:r>
          </w:p>
        </w:tc>
      </w:tr>
      <w:tr>
        <w:trPr>
          <w:cantSplit/>
          <w:tblHeader w:val="false"/>
        </w:trPr>
        <w:tc>
          <w:tcPr>
            <w:tcW w:type="dxa" w:w="1000"/>
            <w:tcMar>
              <w:top w:type="dxa" w:w="70"/>
              <w:left w:type="dxa" w:w="100"/>
              <w:bottom w:type="dxa" w:w="70"/>
              <w:right w:type="dxa" w:w="100"/>
            </w:tcMar>
          </w:tcPr>
          <w:p>
            <w:pPr>
              <w:spacing w:after="30" w:before="30" w:line="232"/>
            </w:pPr>
            <w:r>
              <w:rPr>
                <w:rFonts w:ascii="Calibri" w:cs="Calibri" w:eastAsia="Calibri" w:hAnsi="Calibri"/>
                <w:sz w:val="19"/>
                <w:szCs w:val="19"/>
              </w:rPr>
              <w:t xml:space="preserve">NFR-1</w:t>
            </w:r>
          </w:p>
        </w:tc>
        <w:tc>
          <w:tcPr>
            <w:tcW w:type="dxa" w:w="9080"/>
            <w:tcMar>
              <w:top w:type="dxa" w:w="70"/>
              <w:left w:type="dxa" w:w="100"/>
              <w:bottom w:type="dxa" w:w="70"/>
              <w:right w:type="dxa" w:w="100"/>
            </w:tcMar>
          </w:tcPr>
          <w:p>
            <w:pPr>
              <w:spacing w:after="30" w:before="30" w:line="232"/>
            </w:pPr>
            <w:r>
              <w:rPr>
                <w:rFonts w:ascii="Calibri" w:cs="Calibri" w:eastAsia="Calibri" w:hAnsi="Calibri"/>
                <w:sz w:val="19"/>
                <w:szCs w:val="19"/>
              </w:rPr>
              <w:t xml:space="preserve">Case API p99 under 300ms. Not a rail constraint — recall runs on a banking-day clock — but an analyst working a decaying queue should never wait on the tool.</w:t>
            </w:r>
          </w:p>
        </w:tc>
      </w:tr>
      <w:tr>
        <w:trPr>
          <w:cantSplit/>
          <w:tblHeader w:val="false"/>
        </w:trPr>
        <w:tc>
          <w:tcPr>
            <w:tcW w:type="dxa" w:w="100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NFR-2</w:t>
            </w:r>
          </w:p>
        </w:tc>
        <w:tc>
          <w:tcPr>
            <w:tcW w:type="dxa" w:w="908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Account identifiers hashed before leaving the institution. No name, address, balance or transaction detail crosses an institutional boundary.</w:t>
            </w:r>
          </w:p>
        </w:tc>
      </w:tr>
      <w:tr>
        <w:trPr>
          <w:cantSplit/>
          <w:tblHeader w:val="false"/>
        </w:trPr>
        <w:tc>
          <w:tcPr>
            <w:tcW w:type="dxa" w:w="1000"/>
            <w:tcMar>
              <w:top w:type="dxa" w:w="70"/>
              <w:left w:type="dxa" w:w="100"/>
              <w:bottom w:type="dxa" w:w="70"/>
              <w:right w:type="dxa" w:w="100"/>
            </w:tcMar>
          </w:tcPr>
          <w:p>
            <w:pPr>
              <w:spacing w:after="30" w:before="30" w:line="232"/>
            </w:pPr>
            <w:r>
              <w:rPr>
                <w:rFonts w:ascii="Calibri" w:cs="Calibri" w:eastAsia="Calibri" w:hAnsi="Calibri"/>
                <w:sz w:val="19"/>
                <w:szCs w:val="19"/>
              </w:rPr>
              <w:t xml:space="preserve">NFR-3</w:t>
            </w:r>
          </w:p>
        </w:tc>
        <w:tc>
          <w:tcPr>
            <w:tcW w:type="dxa" w:w="9080"/>
            <w:tcMar>
              <w:top w:type="dxa" w:w="70"/>
              <w:left w:type="dxa" w:w="100"/>
              <w:bottom w:type="dxa" w:w="70"/>
              <w:right w:type="dxa" w:w="100"/>
            </w:tcMar>
          </w:tcPr>
          <w:p>
            <w:pPr>
              <w:spacing w:after="30" w:before="30" w:line="232"/>
            </w:pPr>
            <w:r>
              <w:rPr>
                <w:rFonts w:ascii="Calibri" w:cs="Calibri" w:eastAsia="Calibri" w:hAnsi="Calibri"/>
                <w:sz w:val="19"/>
                <w:szCs w:val="19"/>
              </w:rPr>
              <w:t xml:space="preserve">All monetary values integer cents. A field holding dollars is a defect.</w:t>
            </w:r>
          </w:p>
        </w:tc>
      </w:tr>
      <w:tr>
        <w:trPr>
          <w:cantSplit/>
          <w:tblHeader w:val="false"/>
        </w:trPr>
        <w:tc>
          <w:tcPr>
            <w:tcW w:type="dxa" w:w="100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NFR-4</w:t>
            </w:r>
          </w:p>
        </w:tc>
        <w:tc>
          <w:tcPr>
            <w:tcW w:type="dxa" w:w="908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All timestamps timezone-aware UTC on the wire.</w:t>
            </w:r>
          </w:p>
        </w:tc>
      </w:tr>
      <w:tr>
        <w:trPr>
          <w:cantSplit/>
          <w:tblHeader w:val="false"/>
        </w:trPr>
        <w:tc>
          <w:tcPr>
            <w:tcW w:type="dxa" w:w="1000"/>
            <w:tcMar>
              <w:top w:type="dxa" w:w="70"/>
              <w:left w:type="dxa" w:w="100"/>
              <w:bottom w:type="dxa" w:w="70"/>
              <w:right w:type="dxa" w:w="100"/>
            </w:tcMar>
          </w:tcPr>
          <w:p>
            <w:pPr>
              <w:spacing w:after="30" w:before="30" w:line="232"/>
            </w:pPr>
            <w:r>
              <w:rPr>
                <w:rFonts w:ascii="Calibri" w:cs="Calibri" w:eastAsia="Calibri" w:hAnsi="Calibri"/>
                <w:sz w:val="19"/>
                <w:szCs w:val="19"/>
              </w:rPr>
              <w:t xml:space="preserve">NFR-5</w:t>
            </w:r>
          </w:p>
        </w:tc>
        <w:tc>
          <w:tcPr>
            <w:tcW w:type="dxa" w:w="9080"/>
            <w:tcMar>
              <w:top w:type="dxa" w:w="70"/>
              <w:left w:type="dxa" w:w="100"/>
              <w:bottom w:type="dxa" w:w="70"/>
              <w:right w:type="dxa" w:w="100"/>
            </w:tcMar>
          </w:tcPr>
          <w:p>
            <w:pPr>
              <w:spacing w:after="30" w:before="30" w:line="232"/>
            </w:pPr>
            <w:r>
              <w:rPr>
                <w:rFonts w:ascii="Calibri" w:cs="Calibri" w:eastAsia="Calibri" w:hAnsi="Calibri"/>
                <w:sz w:val="19"/>
                <w:szCs w:val="19"/>
              </w:rPr>
              <w:t xml:space="preserve">Untrusted XML parsed with entity expansion disabled. These messages arrive from counterparties outside our control.</w:t>
            </w:r>
          </w:p>
        </w:tc>
      </w:tr>
      <w:tr>
        <w:trPr>
          <w:cantSplit/>
          <w:tblHeader w:val="false"/>
        </w:trPr>
        <w:tc>
          <w:tcPr>
            <w:tcW w:type="dxa" w:w="100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NFR-6</w:t>
            </w:r>
          </w:p>
        </w:tc>
        <w:tc>
          <w:tcPr>
            <w:tcW w:type="dxa" w:w="908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Free-text input treated as data and never as instruction; prompt-injection cases carried in the evaluation set.</w:t>
            </w:r>
          </w:p>
        </w:tc>
      </w:tr>
      <w:tr>
        <w:trPr>
          <w:cantSplit/>
          <w:tblHeader w:val="false"/>
        </w:trPr>
        <w:tc>
          <w:tcPr>
            <w:tcW w:type="dxa" w:w="1000"/>
            <w:tcMar>
              <w:top w:type="dxa" w:w="70"/>
              <w:left w:type="dxa" w:w="100"/>
              <w:bottom w:type="dxa" w:w="70"/>
              <w:right w:type="dxa" w:w="100"/>
            </w:tcMar>
          </w:tcPr>
          <w:p>
            <w:pPr>
              <w:spacing w:after="30" w:before="30" w:line="232"/>
            </w:pPr>
            <w:r>
              <w:rPr>
                <w:rFonts w:ascii="Calibri" w:cs="Calibri" w:eastAsia="Calibri" w:hAnsi="Calibri"/>
                <w:sz w:val="19"/>
                <w:szCs w:val="19"/>
              </w:rPr>
              <w:t xml:space="preserve">NFR-7</w:t>
            </w:r>
          </w:p>
        </w:tc>
        <w:tc>
          <w:tcPr>
            <w:tcW w:type="dxa" w:w="9080"/>
            <w:tcMar>
              <w:top w:type="dxa" w:w="70"/>
              <w:left w:type="dxa" w:w="100"/>
              <w:bottom w:type="dxa" w:w="70"/>
              <w:right w:type="dxa" w:w="100"/>
            </w:tcMar>
          </w:tcPr>
          <w:p>
            <w:pPr>
              <w:spacing w:after="30" w:before="30" w:line="232"/>
            </w:pPr>
            <w:r>
              <w:rPr>
                <w:rFonts w:ascii="Calibri" w:cs="Calibri" w:eastAsia="Calibri" w:hAnsi="Calibri"/>
                <w:sz w:val="19"/>
                <w:szCs w:val="19"/>
              </w:rPr>
              <w:t xml:space="preserve">Survive restart with the audit chain intact and verifying.</w:t>
            </w:r>
          </w:p>
        </w:tc>
      </w:tr>
    </w:tbl>
    <w:p>
      <w:pPr>
        <w:spacing w:after="100"/>
      </w:pPr>
    </w:p>
    <w:p>
      <w:pPr>
        <w:keepNext/>
        <w:keepLines/>
        <w:spacing w:after="120" w:before="260" w:line="300"/>
        <w:outlineLvl w:val="0"/>
      </w:pPr>
      <w:bookmarkStart w:name="s8" w:id="1"/>
      <w:r>
        <w:rPr>
          <w:rFonts w:ascii="Calibri" w:cs="Calibri" w:eastAsia="Calibri" w:hAnsi="Calibri"/>
          <w:b/>
          <w:bCs/>
          <w:color w:val="1F3A5F"/>
          <w:sz w:val="28"/>
          <w:szCs w:val="28"/>
        </w:rPr>
        <w:t xml:space="preserve">8. The Model, and What It Decides</w:t>
      </w:r>
      <w:bookmarkEnd w:id="1"/>
    </w:p>
    <w:p>
      <w:pPr>
        <w:spacing w:after="120" w:line="264"/>
        <w:jc w:val="both"/>
      </w:pPr>
      <w:r>
        <w:rPr>
          <w:rFonts w:ascii="Calibri" w:cs="Calibri" w:eastAsia="Calibri" w:hAnsi="Calibri"/>
          <w:sz w:val="21"/>
          <w:szCs w:val="21"/>
        </w:rPr>
        <w:t xml:space="preserve">The machine learning in this product exists to answer one question with a cost attached: an analyst has several hundred open cases and capacity for a handful in the next hour — which ones?</w:t>
      </w:r>
    </w:p>
    <w:p>
      <w:pPr>
        <w:spacing w:after="120" w:line="264"/>
        <w:jc w:val="both"/>
      </w:pPr>
      <w:r>
        <w:rPr>
          <w:rFonts w:ascii="Calibri" w:cs="Calibri" w:eastAsia="Calibri" w:hAnsi="Calibri"/>
          <w:b/>
          <w:bCs/>
          <w:sz w:val="21"/>
          <w:szCs w:val="21"/>
        </w:rPr>
        <w:t xml:space="preserve">Recoverability ranking.</w:t>
      </w:r>
      <w:r>
        <w:rPr>
          <w:rFonts w:ascii="Calibri" w:cs="Calibri" w:eastAsia="Calibri" w:hAnsi="Calibri"/>
          <w:sz w:val="21"/>
          <w:szCs w:val="21"/>
        </w:rPr>
        <w:t xml:space="preserve"> Given a case’s rail, minutes elapsed since the original payment settled, amount, the receiving institution’s observed response behaviour, hour of day, weekday and arrival channel, predict the probability that funds remain recoverable. A gradient-boosted classifier, with a logistic regression reported alongside as the honest baseline.</w:t>
      </w:r>
    </w:p>
    <w:p>
      <w:pPr>
        <w:spacing w:after="120" w:line="264"/>
        <w:jc w:val="both"/>
      </w:pPr>
      <w:r>
        <w:rPr>
          <w:rFonts w:ascii="Calibri" w:cs="Calibri" w:eastAsia="Calibri" w:hAnsi="Calibri"/>
          <w:b/>
          <w:bCs/>
          <w:sz w:val="21"/>
          <w:szCs w:val="21"/>
        </w:rPr>
        <w:t xml:space="preserve">The objective is dollars, not accuracy.</w:t>
      </w:r>
      <w:r>
        <w:rPr>
          <w:rFonts w:ascii="Calibri" w:cs="Calibri" w:eastAsia="Calibri" w:hAnsi="Calibri"/>
          <w:sz w:val="21"/>
          <w:szCs w:val="21"/>
        </w:rPr>
        <w:t xml:space="preserve"> The model is scored on recovered dollars per analyst-hour under a swept capacity constraint, against three baselines: arrival order (what institutions do today), largest-amount-first (the obvious heuristic), and a perfect-knowledge oracle (the ceiling). Discrimination is reported; calibration matters more, because this is ranking under scarcity rather than classification.</w:t>
      </w:r>
    </w:p>
    <w:p>
      <w:pPr>
        <w:spacing w:after="120" w:line="264"/>
        <w:jc w:val="both"/>
      </w:pPr>
      <w:r>
        <w:rPr>
          <w:rFonts w:ascii="Calibri" w:cs="Calibri" w:eastAsia="Calibri" w:hAnsi="Calibri"/>
          <w:b/>
          <w:bCs/>
          <w:sz w:val="21"/>
          <w:szCs w:val="21"/>
        </w:rPr>
        <w:t xml:space="preserve">Free-text normalisation.</w:t>
      </w:r>
      <w:r>
        <w:rPr>
          <w:rFonts w:ascii="Calibri" w:cs="Calibri" w:eastAsia="Calibri" w:hAnsi="Calibri"/>
          <w:sz w:val="21"/>
          <w:szCs w:val="21"/>
        </w:rPr>
        <w:t xml:space="preserve"> A language model extracting a structured draft from an email, evaluated on per-field extraction accuracy with the abstention rate reported separately. Abstention is a correct answer: an extractor that always guesses scores better on naive accuracy and is worse in operation.</w:t>
      </w:r>
    </w:p>
    <w:p>
      <w:pPr>
        <w:spacing w:after="120" w:line="264"/>
        <w:jc w:val="both"/>
      </w:pPr>
      <w:r>
        <w:rPr>
          <w:rFonts w:ascii="Calibri" w:cs="Calibri" w:eastAsia="Calibri" w:hAnsi="Calibri"/>
          <w:b/>
          <w:bCs/>
          <w:sz w:val="21"/>
          <w:szCs w:val="21"/>
        </w:rPr>
        <w:t xml:space="preserve">Counterparty response modelling.</w:t>
      </w:r>
      <w:r>
        <w:rPr>
          <w:rFonts w:ascii="Calibri" w:cs="Calibri" w:eastAsia="Calibri" w:hAnsi="Calibri"/>
          <w:sz w:val="21"/>
          <w:szCs w:val="21"/>
        </w:rPr>
        <w:t xml:space="preserve"> Observed median response time and disposition mix per institution, so escalation happens before a deadline rather than after. Largely descriptive statistics, described as such.</w:t>
      </w:r>
    </w:p>
    <w:p>
      <w:pPr>
        <w:keepNext/>
        <w:keepLines/>
        <w:spacing w:after="80" w:before="180" w:line="270"/>
        <w:outlineLvl w:val="2"/>
      </w:pPr>
      <w:r>
        <w:rPr>
          <w:rFonts w:ascii="Calibri" w:cs="Calibri" w:eastAsia="Calibri" w:hAnsi="Calibri"/>
          <w:b/>
          <w:bCs/>
          <w:color w:val="1F4D78"/>
          <w:sz w:val="22"/>
          <w:szCs w:val="22"/>
        </w:rPr>
        <w:t xml:space="preserve">What we do not claim</w:t>
      </w:r>
    </w:p>
    <w:p>
      <w:pPr>
        <w:spacing w:after="120" w:line="264"/>
        <w:jc w:val="both"/>
      </w:pPr>
      <w:r>
        <w:rPr>
          <w:rFonts w:ascii="Calibri" w:cs="Calibri" w:eastAsia="Calibri" w:hAnsi="Calibri"/>
          <w:sz w:val="21"/>
          <w:szCs w:val="21"/>
        </w:rPr>
        <w:t xml:space="preserve">No accuracy figure this project produces transfers to production. The data is synthetic, the recoverability curve is calibrated from UK data on a different rail set, and no real institution’s behaviour is in it. The models exist to demonstrate that the decision architecture is sound and measurable. Any result presented otherwise is a misuse of this document.</w:t>
      </w:r>
    </w:p>
    <w:p>
      <w:pPr>
        <w:keepNext/>
        <w:keepLines/>
        <w:spacing w:after="120" w:before="260" w:line="300"/>
        <w:outlineLvl w:val="0"/>
      </w:pPr>
      <w:bookmarkStart w:name="s9" w:id="1"/>
      <w:r>
        <w:rPr>
          <w:rFonts w:ascii="Calibri" w:cs="Calibri" w:eastAsia="Calibri" w:hAnsi="Calibri"/>
          <w:b/>
          <w:bCs/>
          <w:color w:val="1F3A5F"/>
          <w:sz w:val="28"/>
          <w:szCs w:val="28"/>
        </w:rPr>
        <w:t xml:space="preserve">9. Competitive Position</w:t>
      </w:r>
      <w:bookmarkEnd w:id="1"/>
    </w:p>
    <w:tbl>
      <w:tblPr>
        <w:tblW w:type="dxa" w:w="10080"/>
        <w:tblBorders>
          <w:top w:val="single" w:color="BBBBBB" w:sz="3"/>
          <w:left w:val="single" w:color="BBBBBB" w:sz="3"/>
          <w:bottom w:val="single" w:color="BBBBBB" w:sz="3"/>
          <w:right w:val="single" w:color="BBBBBB" w:sz="3"/>
          <w:insideH w:val="single" w:color="BBBBBB" w:sz="3"/>
          <w:insideV w:val="single" w:color="BBBBBB" w:sz="3"/>
        </w:tblBorders>
      </w:tblPr>
      <w:tblGrid>
        <w:gridCol w:w="1920"/>
        <w:gridCol w:w="2960"/>
        <w:gridCol w:w="5200"/>
      </w:tblGrid>
      <w:tr>
        <w:trPr>
          <w:cantSplit/>
          <w:tblHeader/>
        </w:trPr>
        <w:tc>
          <w:tcPr>
            <w:tcW w:type="dxa" w:w="1920"/>
            <w:shd w:fill="1F3A5F" w:color="auto" w:val="clear"/>
            <w:tcMar>
              <w:top w:type="dxa" w:w="70"/>
              <w:left w:type="dxa" w:w="100"/>
              <w:bottom w:type="dxa" w:w="70"/>
              <w:right w:type="dxa" w:w="100"/>
            </w:tcMar>
          </w:tcPr>
          <w:p>
            <w:pPr>
              <w:spacing w:after="30" w:before="30" w:line="232"/>
            </w:pPr>
            <w:r>
              <w:rPr>
                <w:rFonts w:ascii="Calibri" w:cs="Calibri" w:eastAsia="Calibri" w:hAnsi="Calibri"/>
                <w:b/>
                <w:bCs/>
                <w:color w:val="FFFFFF"/>
                <w:sz w:val="19"/>
                <w:szCs w:val="19"/>
              </w:rPr>
              <w:t xml:space="preserve">Category</w:t>
            </w:r>
          </w:p>
        </w:tc>
        <w:tc>
          <w:tcPr>
            <w:tcW w:type="dxa" w:w="2960"/>
            <w:shd w:fill="1F3A5F" w:color="auto" w:val="clear"/>
            <w:tcMar>
              <w:top w:type="dxa" w:w="70"/>
              <w:left w:type="dxa" w:w="100"/>
              <w:bottom w:type="dxa" w:w="70"/>
              <w:right w:type="dxa" w:w="100"/>
            </w:tcMar>
          </w:tcPr>
          <w:p>
            <w:pPr>
              <w:spacing w:after="30" w:before="30" w:line="232"/>
            </w:pPr>
            <w:r>
              <w:rPr>
                <w:rFonts w:ascii="Calibri" w:cs="Calibri" w:eastAsia="Calibri" w:hAnsi="Calibri"/>
                <w:b/>
                <w:bCs/>
                <w:color w:val="FFFFFF"/>
                <w:sz w:val="19"/>
                <w:szCs w:val="19"/>
              </w:rPr>
              <w:t xml:space="preserve">Who</w:t>
            </w:r>
          </w:p>
        </w:tc>
        <w:tc>
          <w:tcPr>
            <w:tcW w:type="dxa" w:w="5200"/>
            <w:shd w:fill="1F3A5F" w:color="auto" w:val="clear"/>
            <w:tcMar>
              <w:top w:type="dxa" w:w="70"/>
              <w:left w:type="dxa" w:w="100"/>
              <w:bottom w:type="dxa" w:w="70"/>
              <w:right w:type="dxa" w:w="100"/>
            </w:tcMar>
          </w:tcPr>
          <w:p>
            <w:pPr>
              <w:spacing w:after="30" w:before="30" w:line="232"/>
            </w:pPr>
            <w:r>
              <w:rPr>
                <w:rFonts w:ascii="Calibri" w:cs="Calibri" w:eastAsia="Calibri" w:hAnsi="Calibri"/>
                <w:b/>
                <w:bCs/>
                <w:color w:val="FFFFFF"/>
                <w:sz w:val="19"/>
                <w:szCs w:val="19"/>
              </w:rPr>
              <w:t xml:space="preserve">Why they are not this</w:t>
            </w:r>
          </w:p>
        </w:tc>
      </w:tr>
      <w:tr>
        <w:trPr>
          <w:cantSplit/>
          <w:tblHeader w:val="false"/>
        </w:trPr>
        <w:tc>
          <w:tcPr>
            <w:tcW w:type="dxa" w:w="1920"/>
            <w:tcMar>
              <w:top w:type="dxa" w:w="70"/>
              <w:left w:type="dxa" w:w="100"/>
              <w:bottom w:type="dxa" w:w="70"/>
              <w:right w:type="dxa" w:w="100"/>
            </w:tcMar>
          </w:tcPr>
          <w:p>
            <w:pPr>
              <w:spacing w:after="30" w:before="30" w:line="232"/>
            </w:pPr>
            <w:r>
              <w:rPr>
                <w:rFonts w:ascii="Calibri" w:cs="Calibri" w:eastAsia="Calibri" w:hAnsi="Calibri"/>
                <w:sz w:val="19"/>
                <w:szCs w:val="19"/>
              </w:rPr>
              <w:t xml:space="preserve">Detection</w:t>
            </w:r>
          </w:p>
        </w:tc>
        <w:tc>
          <w:tcPr>
            <w:tcW w:type="dxa" w:w="2960"/>
            <w:tcMar>
              <w:top w:type="dxa" w:w="70"/>
              <w:left w:type="dxa" w:w="100"/>
              <w:bottom w:type="dxa" w:w="70"/>
              <w:right w:type="dxa" w:w="100"/>
            </w:tcMar>
          </w:tcPr>
          <w:p>
            <w:pPr>
              <w:spacing w:after="30" w:before="30" w:line="232"/>
            </w:pPr>
            <w:r>
              <w:rPr>
                <w:rFonts w:ascii="Calibri" w:cs="Calibri" w:eastAsia="Calibri" w:hAnsi="Calibri"/>
                <w:sz w:val="19"/>
                <w:szCs w:val="19"/>
              </w:rPr>
              <w:t xml:space="preserve">Feedzai, Featurespace (Visa, Dec 2024), NICE Actimize, BioCatch, Socure, Sardine, Unit21, Hawk AI, DataVisor</w:t>
            </w:r>
          </w:p>
        </w:tc>
        <w:tc>
          <w:tcPr>
            <w:tcW w:type="dxa" w:w="5200"/>
            <w:tcMar>
              <w:top w:type="dxa" w:w="70"/>
              <w:left w:type="dxa" w:w="100"/>
              <w:bottom w:type="dxa" w:w="70"/>
              <w:right w:type="dxa" w:w="100"/>
            </w:tcMar>
          </w:tcPr>
          <w:p>
            <w:pPr>
              <w:spacing w:after="30" w:before="30" w:line="232"/>
            </w:pPr>
            <w:r>
              <w:rPr>
                <w:rFonts w:ascii="Calibri" w:cs="Calibri" w:eastAsia="Calibri" w:hAnsi="Calibri"/>
                <w:sz w:val="19"/>
                <w:szCs w:val="19"/>
              </w:rPr>
              <w:t xml:space="preserve">All sell scoring, alerting and intra-bank case management. None was found to handle interbank post-fraud recall. They stop when money moves; Interlock starts there.</w:t>
            </w:r>
          </w:p>
        </w:tc>
      </w:tr>
      <w:tr>
        <w:trPr>
          <w:cantSplit/>
          <w:tblHeader w:val="false"/>
        </w:trPr>
        <w:tc>
          <w:tcPr>
            <w:tcW w:type="dxa" w:w="192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Disputes</w:t>
            </w:r>
          </w:p>
        </w:tc>
        <w:tc>
          <w:tcPr>
            <w:tcW w:type="dxa" w:w="296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Quavo, Pega Smart Dispute, Fiserv Dispute Expert, FINBOA, FIntegrate</w:t>
            </w:r>
          </w:p>
        </w:tc>
        <w:tc>
          <w:tcPr>
            <w:tcW w:type="dxa" w:w="520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All begin at the victim institution’s Regulation E clock. Quavo — the most rail-complete US dispute vendor found — covers cards, ACH, wire, Zelle, RTP, ATM and checks, and FedNow appears in neither its product pages nor its news archive through July 2026.</w:t>
            </w:r>
          </w:p>
        </w:tc>
      </w:tr>
      <w:tr>
        <w:trPr>
          <w:cantSplit/>
          <w:tblHeader w:val="false"/>
        </w:trPr>
        <w:tc>
          <w:tcPr>
            <w:tcW w:type="dxa" w:w="1920"/>
            <w:tcMar>
              <w:top w:type="dxa" w:w="70"/>
              <w:left w:type="dxa" w:w="100"/>
              <w:bottom w:type="dxa" w:w="70"/>
              <w:right w:type="dxa" w:w="100"/>
            </w:tcMar>
          </w:tcPr>
          <w:p>
            <w:pPr>
              <w:spacing w:after="30" w:before="30" w:line="232"/>
            </w:pPr>
            <w:r>
              <w:rPr>
                <w:rFonts w:ascii="Calibri" w:cs="Calibri" w:eastAsia="Calibri" w:hAnsi="Calibri"/>
                <w:sz w:val="19"/>
                <w:szCs w:val="19"/>
              </w:rPr>
              <w:t xml:space="preserve">Networks</w:t>
            </w:r>
          </w:p>
        </w:tc>
        <w:tc>
          <w:tcPr>
            <w:tcW w:type="dxa" w:w="2960"/>
            <w:tcMar>
              <w:top w:type="dxa" w:w="70"/>
              <w:left w:type="dxa" w:w="100"/>
              <w:bottom w:type="dxa" w:w="70"/>
              <w:right w:type="dxa" w:w="100"/>
            </w:tcMar>
          </w:tcPr>
          <w:p>
            <w:pPr>
              <w:spacing w:after="30" w:before="30" w:line="232"/>
            </w:pPr>
            <w:r>
              <w:rPr>
                <w:rFonts w:ascii="Calibri" w:cs="Calibri" w:eastAsia="Calibri" w:hAnsi="Calibri"/>
                <w:sz w:val="19"/>
                <w:szCs w:val="19"/>
              </w:rPr>
              <w:t xml:space="preserve">Early Warning Services, The Clearing House, Federal Reserve Exception Resolution Service, Nacha Risk Management Portal</w:t>
            </w:r>
          </w:p>
        </w:tc>
        <w:tc>
          <w:tcPr>
            <w:tcW w:type="dxa" w:w="5200"/>
            <w:tcMar>
              <w:top w:type="dxa" w:w="70"/>
              <w:left w:type="dxa" w:w="100"/>
              <w:bottom w:type="dxa" w:w="70"/>
              <w:right w:type="dxa" w:w="100"/>
            </w:tcMar>
          </w:tcPr>
          <w:p>
            <w:pPr>
              <w:spacing w:after="30" w:before="30" w:line="232"/>
            </w:pPr>
            <w:r>
              <w:rPr>
                <w:rFonts w:ascii="Calibri" w:cs="Calibri" w:eastAsia="Calibri" w:hAnsi="Calibri"/>
                <w:sz w:val="19"/>
                <w:szCs w:val="19"/>
              </w:rPr>
              <w:t xml:space="preserve">Closed, bank-owned, or public-sector plumbing with no product on top. ERS covers ACH and FedNow but not RTP, Zelle or wires. Nacha’s Secure Exchange moves standardised PDFs. Nothing found spans rails.</w:t>
            </w:r>
          </w:p>
        </w:tc>
      </w:tr>
      <w:tr>
        <w:trPr>
          <w:cantSplit/>
          <w:tblHeader w:val="false"/>
        </w:trPr>
        <w:tc>
          <w:tcPr>
            <w:tcW w:type="dxa" w:w="192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The category, proven elsewhere</w:t>
            </w:r>
          </w:p>
        </w:tc>
        <w:tc>
          <w:tcPr>
            <w:tcW w:type="dxa" w:w="296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Mastercard A2A Protect “Recover”; Salv Bridge</w:t>
            </w:r>
          </w:p>
        </w:tc>
        <w:tc>
          <w:tcPr>
            <w:tcW w:type="dxa" w:w="520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Both do approximately this. Recover launched in the United Kingdom in 2025 with no announced US timeline; Salv Bridge runs across sixteen-plus European jurisdictions with no US presence.</w:t>
            </w:r>
          </w:p>
        </w:tc>
      </w:tr>
    </w:tbl>
    <w:p>
      <w:pPr>
        <w:spacing w:after="100"/>
      </w:pPr>
    </w:p>
    <w:p>
      <w:pPr>
        <w:spacing w:after="120" w:line="264"/>
        <w:jc w:val="both"/>
      </w:pPr>
      <w:r>
        <w:rPr>
          <w:rFonts w:ascii="Calibri" w:cs="Calibri" w:eastAsia="Calibri" w:hAnsi="Calibri"/>
          <w:sz w:val="21"/>
          <w:szCs w:val="21"/>
        </w:rPr>
        <w:t xml:space="preserve">The differentiation claim is therefore not novelty. It is that a product category which demonstrably works elsewhere does not exist in the largest instant-payments market in the world, and that the regulatory conditions which would create demand for it arrived in 2025 and 2026.</w:t>
      </w:r>
    </w:p>
    <w:p>
      <w:pPr>
        <w:spacing w:after="120" w:line="264"/>
        <w:jc w:val="both"/>
      </w:pPr>
      <w:r>
        <w:rPr>
          <w:rFonts w:ascii="Calibri" w:cs="Calibri" w:eastAsia="Calibri" w:hAnsi="Calibri"/>
          <w:b/>
          <w:bCs/>
          <w:sz w:val="21"/>
          <w:szCs w:val="21"/>
        </w:rPr>
        <w:t xml:space="preserve">The honest caveat, carried everywhere:</w:t>
      </w:r>
      <w:r>
        <w:rPr>
          <w:rFonts w:ascii="Calibri" w:cs="Calibri" w:eastAsia="Calibri" w:hAnsi="Calibri"/>
          <w:sz w:val="21"/>
          <w:szCs w:val="21"/>
        </w:rPr>
        <w:t xml:space="preserve"> Mastercard could announce US availability at any time, and the industry convened its first shared-vocabulary forum eight days before this document was written. This window is open now. It is not open indefinitely.</w:t>
      </w:r>
    </w:p>
    <w:p>
      <w:pPr>
        <w:keepNext/>
        <w:keepLines/>
        <w:spacing w:after="120" w:before="260" w:line="300"/>
        <w:outlineLvl w:val="0"/>
      </w:pPr>
      <w:bookmarkStart w:name="s10" w:id="1"/>
      <w:r>
        <w:rPr>
          <w:rFonts w:ascii="Calibri" w:cs="Calibri" w:eastAsia="Calibri" w:hAnsi="Calibri"/>
          <w:b/>
          <w:bCs/>
          <w:color w:val="1F3A5F"/>
          <w:sz w:val="28"/>
          <w:szCs w:val="28"/>
        </w:rPr>
        <w:t xml:space="preserve">10. Success Metrics</w:t>
      </w:r>
      <w:bookmarkEnd w:id="1"/>
    </w:p>
    <w:tbl>
      <w:tblPr>
        <w:tblW w:type="dxa" w:w="10080"/>
        <w:tblBorders>
          <w:top w:val="single" w:color="BBBBBB" w:sz="3"/>
          <w:left w:val="single" w:color="BBBBBB" w:sz="3"/>
          <w:bottom w:val="single" w:color="BBBBBB" w:sz="3"/>
          <w:right w:val="single" w:color="BBBBBB" w:sz="3"/>
          <w:insideH w:val="single" w:color="BBBBBB" w:sz="3"/>
          <w:insideV w:val="single" w:color="BBBBBB" w:sz="3"/>
        </w:tblBorders>
      </w:tblPr>
      <w:tblGrid>
        <w:gridCol w:w="2960"/>
        <w:gridCol w:w="3040"/>
        <w:gridCol w:w="4080"/>
      </w:tblGrid>
      <w:tr>
        <w:trPr>
          <w:cantSplit/>
          <w:tblHeader/>
        </w:trPr>
        <w:tc>
          <w:tcPr>
            <w:tcW w:type="dxa" w:w="2960"/>
            <w:shd w:fill="1F3A5F" w:color="auto" w:val="clear"/>
            <w:tcMar>
              <w:top w:type="dxa" w:w="70"/>
              <w:left w:type="dxa" w:w="100"/>
              <w:bottom w:type="dxa" w:w="70"/>
              <w:right w:type="dxa" w:w="100"/>
            </w:tcMar>
          </w:tcPr>
          <w:p>
            <w:pPr>
              <w:spacing w:after="30" w:before="30" w:line="232"/>
            </w:pPr>
            <w:r>
              <w:rPr>
                <w:rFonts w:ascii="Calibri" w:cs="Calibri" w:eastAsia="Calibri" w:hAnsi="Calibri"/>
                <w:b/>
                <w:bCs/>
                <w:color w:val="FFFFFF"/>
                <w:sz w:val="19"/>
                <w:szCs w:val="19"/>
              </w:rPr>
              <w:t xml:space="preserve">Metric</w:t>
            </w:r>
          </w:p>
        </w:tc>
        <w:tc>
          <w:tcPr>
            <w:tcW w:type="dxa" w:w="3040"/>
            <w:shd w:fill="1F3A5F" w:color="auto" w:val="clear"/>
            <w:tcMar>
              <w:top w:type="dxa" w:w="70"/>
              <w:left w:type="dxa" w:w="100"/>
              <w:bottom w:type="dxa" w:w="70"/>
              <w:right w:type="dxa" w:w="100"/>
            </w:tcMar>
          </w:tcPr>
          <w:p>
            <w:pPr>
              <w:spacing w:after="30" w:before="30" w:line="232"/>
            </w:pPr>
            <w:r>
              <w:rPr>
                <w:rFonts w:ascii="Calibri" w:cs="Calibri" w:eastAsia="Calibri" w:hAnsi="Calibri"/>
                <w:b/>
                <w:bCs/>
                <w:color w:val="FFFFFF"/>
                <w:sz w:val="19"/>
                <w:szCs w:val="19"/>
              </w:rPr>
              <w:t xml:space="preserve">Target</w:t>
            </w:r>
          </w:p>
        </w:tc>
        <w:tc>
          <w:tcPr>
            <w:tcW w:type="dxa" w:w="4080"/>
            <w:shd w:fill="1F3A5F" w:color="auto" w:val="clear"/>
            <w:tcMar>
              <w:top w:type="dxa" w:w="70"/>
              <w:left w:type="dxa" w:w="100"/>
              <w:bottom w:type="dxa" w:w="70"/>
              <w:right w:type="dxa" w:w="100"/>
            </w:tcMar>
          </w:tcPr>
          <w:p>
            <w:pPr>
              <w:spacing w:after="30" w:before="30" w:line="232"/>
            </w:pPr>
            <w:r>
              <w:rPr>
                <w:rFonts w:ascii="Calibri" w:cs="Calibri" w:eastAsia="Calibri" w:hAnsi="Calibri"/>
                <w:b/>
                <w:bCs/>
                <w:color w:val="FFFFFF"/>
                <w:sz w:val="19"/>
                <w:szCs w:val="19"/>
              </w:rPr>
              <w:t xml:space="preserve">Why this one</w:t>
            </w:r>
          </w:p>
        </w:tc>
      </w:tr>
      <w:tr>
        <w:trPr>
          <w:cantSplit/>
          <w:tblHeader w:val="false"/>
        </w:trPr>
        <w:tc>
          <w:tcPr>
            <w:tcW w:type="dxa" w:w="2960"/>
            <w:tcMar>
              <w:top w:type="dxa" w:w="70"/>
              <w:left w:type="dxa" w:w="100"/>
              <w:bottom w:type="dxa" w:w="70"/>
              <w:right w:type="dxa" w:w="100"/>
            </w:tcMar>
          </w:tcPr>
          <w:p>
            <w:pPr>
              <w:spacing w:after="30" w:before="30" w:line="232"/>
            </w:pPr>
            <w:r>
              <w:rPr>
                <w:rFonts w:ascii="Calibri" w:cs="Calibri" w:eastAsia="Calibri" w:hAnsi="Calibri"/>
                <w:sz w:val="19"/>
                <w:szCs w:val="19"/>
              </w:rPr>
              <w:t xml:space="preserve">Recovered dollars per analyst-hour</w:t>
            </w:r>
          </w:p>
        </w:tc>
        <w:tc>
          <w:tcPr>
            <w:tcW w:type="dxa" w:w="3040"/>
            <w:tcMar>
              <w:top w:type="dxa" w:w="70"/>
              <w:left w:type="dxa" w:w="100"/>
              <w:bottom w:type="dxa" w:w="70"/>
              <w:right w:type="dxa" w:w="100"/>
            </w:tcMar>
          </w:tcPr>
          <w:p>
            <w:pPr>
              <w:spacing w:after="30" w:before="30" w:line="232"/>
            </w:pPr>
            <w:r>
              <w:rPr>
                <w:rFonts w:ascii="Calibri" w:cs="Calibri" w:eastAsia="Calibri" w:hAnsi="Calibri"/>
                <w:sz w:val="19"/>
                <w:szCs w:val="19"/>
              </w:rPr>
              <w:t xml:space="preserve">Beats arrival order by more than seed-to-seed variance across at least five seeds, under a swept capacity constraint</w:t>
            </w:r>
          </w:p>
        </w:tc>
        <w:tc>
          <w:tcPr>
            <w:tcW w:type="dxa" w:w="4080"/>
            <w:tcMar>
              <w:top w:type="dxa" w:w="70"/>
              <w:left w:type="dxa" w:w="100"/>
              <w:bottom w:type="dxa" w:w="70"/>
              <w:right w:type="dxa" w:w="100"/>
            </w:tcMar>
          </w:tcPr>
          <w:p>
            <w:pPr>
              <w:spacing w:after="30" w:before="30" w:line="232"/>
            </w:pPr>
            <w:r>
              <w:rPr>
                <w:rFonts w:ascii="Calibri" w:cs="Calibri" w:eastAsia="Calibri" w:hAnsi="Calibri"/>
                <w:sz w:val="19"/>
                <w:szCs w:val="19"/>
              </w:rPr>
              <w:t xml:space="preserve">The core claim. Everything else is secondary to whether ranking beats not ranking.</w:t>
            </w:r>
          </w:p>
        </w:tc>
      </w:tr>
      <w:tr>
        <w:trPr>
          <w:cantSplit/>
          <w:tblHeader w:val="false"/>
        </w:trPr>
        <w:tc>
          <w:tcPr>
            <w:tcW w:type="dxa" w:w="296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ACH requests answered within the window</w:t>
            </w:r>
          </w:p>
        </w:tc>
        <w:tc>
          <w:tcPr>
            <w:tcW w:type="dxa" w:w="304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100%</w:t>
            </w:r>
          </w:p>
        </w:tc>
        <w:tc>
          <w:tcPr>
            <w:tcW w:type="dxa" w:w="408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A process property, not a modelling one. Below 100% means the state machine has a defect.</w:t>
            </w:r>
          </w:p>
        </w:tc>
      </w:tr>
      <w:tr>
        <w:trPr>
          <w:cantSplit/>
          <w:tblHeader w:val="false"/>
        </w:trPr>
        <w:tc>
          <w:tcPr>
            <w:tcW w:type="dxa" w:w="2960"/>
            <w:tcMar>
              <w:top w:type="dxa" w:w="70"/>
              <w:left w:type="dxa" w:w="100"/>
              <w:bottom w:type="dxa" w:w="70"/>
              <w:right w:type="dxa" w:w="100"/>
            </w:tcMar>
          </w:tcPr>
          <w:p>
            <w:pPr>
              <w:spacing w:after="30" w:before="30" w:line="232"/>
            </w:pPr>
            <w:r>
              <w:rPr>
                <w:rFonts w:ascii="Calibri" w:cs="Calibri" w:eastAsia="Calibri" w:hAnsi="Calibri"/>
                <w:sz w:val="19"/>
                <w:szCs w:val="19"/>
              </w:rPr>
              <w:t xml:space="preserve">Cases closed without a disposition</w:t>
            </w:r>
          </w:p>
        </w:tc>
        <w:tc>
          <w:tcPr>
            <w:tcW w:type="dxa" w:w="3040"/>
            <w:tcMar>
              <w:top w:type="dxa" w:w="70"/>
              <w:left w:type="dxa" w:w="100"/>
              <w:bottom w:type="dxa" w:w="70"/>
              <w:right w:type="dxa" w:w="100"/>
            </w:tcMar>
          </w:tcPr>
          <w:p>
            <w:pPr>
              <w:spacing w:after="30" w:before="30" w:line="232"/>
            </w:pPr>
            <w:r>
              <w:rPr>
                <w:rFonts w:ascii="Calibri" w:cs="Calibri" w:eastAsia="Calibri" w:hAnsi="Calibri"/>
                <w:sz w:val="19"/>
                <w:szCs w:val="19"/>
              </w:rPr>
              <w:t xml:space="preserve">0, by construction</w:t>
            </w:r>
          </w:p>
        </w:tc>
        <w:tc>
          <w:tcPr>
            <w:tcW w:type="dxa" w:w="4080"/>
            <w:tcMar>
              <w:top w:type="dxa" w:w="70"/>
              <w:left w:type="dxa" w:w="100"/>
              <w:bottom w:type="dxa" w:w="70"/>
              <w:right w:type="dxa" w:w="100"/>
            </w:tcMar>
          </w:tcPr>
          <w:p>
            <w:pPr>
              <w:spacing w:after="30" w:before="30" w:line="232"/>
            </w:pPr>
            <w:r>
              <w:rPr>
                <w:rFonts w:ascii="Calibri" w:cs="Calibri" w:eastAsia="Calibri" w:hAnsi="Calibri"/>
                <w:sz w:val="19"/>
                <w:szCs w:val="19"/>
              </w:rPr>
              <w:t xml:space="preserve">Guaranteed by the type system and proven over generated transition sequences, not observed in a sample.</w:t>
            </w:r>
          </w:p>
        </w:tc>
      </w:tr>
      <w:tr>
        <w:trPr>
          <w:cantSplit/>
          <w:tblHeader w:val="false"/>
        </w:trPr>
        <w:tc>
          <w:tcPr>
            <w:tcW w:type="dxa" w:w="296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Median time from arrival to first action, by channel</w:t>
            </w:r>
          </w:p>
        </w:tc>
        <w:tc>
          <w:tcPr>
            <w:tcW w:type="dxa" w:w="304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Reported, with the free-text channel broken out</w:t>
            </w:r>
          </w:p>
        </w:tc>
        <w:tc>
          <w:tcPr>
            <w:tcW w:type="dxa" w:w="408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Where normalisation pays. The comparison that matters is structured against email.</w:t>
            </w:r>
          </w:p>
        </w:tc>
      </w:tr>
      <w:tr>
        <w:trPr>
          <w:cantSplit/>
          <w:tblHeader w:val="false"/>
        </w:trPr>
        <w:tc>
          <w:tcPr>
            <w:tcW w:type="dxa" w:w="2960"/>
            <w:tcMar>
              <w:top w:type="dxa" w:w="70"/>
              <w:left w:type="dxa" w:w="100"/>
              <w:bottom w:type="dxa" w:w="70"/>
              <w:right w:type="dxa" w:w="100"/>
            </w:tcMar>
          </w:tcPr>
          <w:p>
            <w:pPr>
              <w:spacing w:after="30" w:before="30" w:line="232"/>
            </w:pPr>
            <w:r>
              <w:rPr>
                <w:rFonts w:ascii="Calibri" w:cs="Calibri" w:eastAsia="Calibri" w:hAnsi="Calibri"/>
                <w:sz w:val="19"/>
                <w:szCs w:val="19"/>
              </w:rPr>
              <w:t xml:space="preserve">Chain integrity</w:t>
            </w:r>
          </w:p>
        </w:tc>
        <w:tc>
          <w:tcPr>
            <w:tcW w:type="dxa" w:w="3040"/>
            <w:tcMar>
              <w:top w:type="dxa" w:w="70"/>
              <w:left w:type="dxa" w:w="100"/>
              <w:bottom w:type="dxa" w:w="70"/>
              <w:right w:type="dxa" w:w="100"/>
            </w:tcMar>
          </w:tcPr>
          <w:p>
            <w:pPr>
              <w:spacing w:after="30" w:before="30" w:line="232"/>
            </w:pPr>
            <w:r>
              <w:rPr>
                <w:rFonts w:ascii="Calibri" w:cs="Calibri" w:eastAsia="Calibri" w:hAnsi="Calibri"/>
                <w:sz w:val="19"/>
                <w:szCs w:val="19"/>
              </w:rPr>
              <w:t xml:space="preserve">Any edit detectable</w:t>
            </w:r>
          </w:p>
        </w:tc>
        <w:tc>
          <w:tcPr>
            <w:tcW w:type="dxa" w:w="4080"/>
            <w:tcMar>
              <w:top w:type="dxa" w:w="70"/>
              <w:left w:type="dxa" w:w="100"/>
              <w:bottom w:type="dxa" w:w="70"/>
              <w:right w:type="dxa" w:w="100"/>
            </w:tcMar>
          </w:tcPr>
          <w:p>
            <w:pPr>
              <w:spacing w:after="30" w:before="30" w:line="232"/>
            </w:pPr>
            <w:r>
              <w:rPr>
                <w:rFonts w:ascii="Calibri" w:cs="Calibri" w:eastAsia="Calibri" w:hAnsi="Calibri"/>
                <w:sz w:val="19"/>
                <w:szCs w:val="19"/>
              </w:rPr>
              <w:t xml:space="preserve">The evidence export is worthless if it cannot be independently verified.</w:t>
            </w:r>
          </w:p>
        </w:tc>
      </w:tr>
    </w:tbl>
    <w:p>
      <w:pPr>
        <w:spacing w:after="100"/>
      </w:pPr>
    </w:p>
    <w:p>
      <w:pPr>
        <w:spacing w:after="120" w:line="264"/>
        <w:jc w:val="both"/>
      </w:pPr>
      <w:r>
        <w:rPr>
          <w:rFonts w:ascii="Calibri" w:cs="Calibri" w:eastAsia="Calibri" w:hAnsi="Calibri"/>
          <w:i/>
          <w:iCs/>
          <w:sz w:val="21"/>
          <w:szCs w:val="21"/>
        </w:rPr>
        <w:t xml:space="preserve">Explicitly not headline metrics: model AUC, any fraud-detection rate, and any accuracy figure implied to transfer to production.</w:t>
      </w:r>
    </w:p>
    <w:p>
      <w:pPr>
        <w:keepNext/>
        <w:keepLines/>
        <w:spacing w:after="120" w:before="260" w:line="300"/>
        <w:outlineLvl w:val="0"/>
      </w:pPr>
      <w:bookmarkStart w:name="s11" w:id="1"/>
      <w:r>
        <w:rPr>
          <w:rFonts w:ascii="Calibri" w:cs="Calibri" w:eastAsia="Calibri" w:hAnsi="Calibri"/>
          <w:b/>
          <w:bCs/>
          <w:color w:val="1F3A5F"/>
          <w:sz w:val="28"/>
          <w:szCs w:val="28"/>
        </w:rPr>
        <w:t xml:space="preserve">11. How We Will Prove It Works</w:t>
      </w:r>
      <w:bookmarkEnd w:id="1"/>
    </w:p>
    <w:p>
      <w:pPr>
        <w:keepNext/>
        <w:keepLines/>
        <w:spacing w:after="80" w:before="180" w:line="270"/>
        <w:outlineLvl w:val="2"/>
      </w:pPr>
      <w:r>
        <w:rPr>
          <w:rFonts w:ascii="Calibri" w:cs="Calibri" w:eastAsia="Calibri" w:hAnsi="Calibri"/>
          <w:b/>
          <w:bCs/>
          <w:color w:val="1F4D78"/>
          <w:sz w:val="22"/>
          <w:szCs w:val="22"/>
        </w:rPr>
        <w:t xml:space="preserve">Synthetic data that is genuinely hard</w:t>
      </w:r>
    </w:p>
    <w:p>
      <w:pPr>
        <w:spacing w:after="120" w:line="264"/>
        <w:jc w:val="both"/>
      </w:pPr>
      <w:r>
        <w:rPr>
          <w:rFonts w:ascii="Calibri" w:cs="Calibri" w:eastAsia="Calibri" w:hAnsi="Calibri"/>
          <w:sz w:val="21"/>
          <w:szCs w:val="21"/>
        </w:rPr>
        <w:t xml:space="preserve">The testbed generates payment populations and recall cases whose outcomes follow a documented decay curve. Four separability defects were found and fixed during construction, each by measuring rather than reading, and the reasoning is preserved because it is the most transferable part of the work.</w:t>
      </w:r>
    </w:p>
    <w:tbl>
      <w:tblPr>
        <w:tblW w:type="dxa" w:w="10080"/>
        <w:tblBorders>
          <w:top w:val="single" w:color="BBBBBB" w:sz="3"/>
          <w:left w:val="single" w:color="BBBBBB" w:sz="3"/>
          <w:bottom w:val="single" w:color="BBBBBB" w:sz="3"/>
          <w:right w:val="single" w:color="BBBBBB" w:sz="3"/>
          <w:insideH w:val="single" w:color="BBBBBB" w:sz="3"/>
          <w:insideV w:val="single" w:color="BBBBBB" w:sz="3"/>
        </w:tblBorders>
      </w:tblPr>
      <w:tblGrid>
        <w:gridCol w:w="2400"/>
        <w:gridCol w:w="4080"/>
        <w:gridCol w:w="3600"/>
      </w:tblGrid>
      <w:tr>
        <w:trPr>
          <w:cantSplit/>
          <w:tblHeader/>
        </w:trPr>
        <w:tc>
          <w:tcPr>
            <w:tcW w:type="dxa" w:w="2400"/>
            <w:shd w:fill="1F3A5F" w:color="auto" w:val="clear"/>
            <w:tcMar>
              <w:top w:type="dxa" w:w="70"/>
              <w:left w:type="dxa" w:w="100"/>
              <w:bottom w:type="dxa" w:w="70"/>
              <w:right w:type="dxa" w:w="100"/>
            </w:tcMar>
          </w:tcPr>
          <w:p>
            <w:pPr>
              <w:spacing w:after="30" w:before="30" w:line="232"/>
            </w:pPr>
            <w:r>
              <w:rPr>
                <w:rFonts w:ascii="Calibri" w:cs="Calibri" w:eastAsia="Calibri" w:hAnsi="Calibri"/>
                <w:b/>
                <w:bCs/>
                <w:color w:val="FFFFFF"/>
                <w:sz w:val="19"/>
                <w:szCs w:val="19"/>
              </w:rPr>
              <w:t xml:space="preserve">Defect</w:t>
            </w:r>
          </w:p>
        </w:tc>
        <w:tc>
          <w:tcPr>
            <w:tcW w:type="dxa" w:w="4080"/>
            <w:shd w:fill="1F3A5F" w:color="auto" w:val="clear"/>
            <w:tcMar>
              <w:top w:type="dxa" w:w="70"/>
              <w:left w:type="dxa" w:w="100"/>
              <w:bottom w:type="dxa" w:w="70"/>
              <w:right w:type="dxa" w:w="100"/>
            </w:tcMar>
          </w:tcPr>
          <w:p>
            <w:pPr>
              <w:spacing w:after="30" w:before="30" w:line="232"/>
            </w:pPr>
            <w:r>
              <w:rPr>
                <w:rFonts w:ascii="Calibri" w:cs="Calibri" w:eastAsia="Calibri" w:hAnsi="Calibri"/>
                <w:b/>
                <w:bCs/>
                <w:color w:val="FFFFFF"/>
                <w:sz w:val="19"/>
                <w:szCs w:val="19"/>
              </w:rPr>
              <w:t xml:space="preserve">How it surfaced</w:t>
            </w:r>
          </w:p>
        </w:tc>
        <w:tc>
          <w:tcPr>
            <w:tcW w:type="dxa" w:w="3600"/>
            <w:shd w:fill="1F3A5F" w:color="auto" w:val="clear"/>
            <w:tcMar>
              <w:top w:type="dxa" w:w="70"/>
              <w:left w:type="dxa" w:w="100"/>
              <w:bottom w:type="dxa" w:w="70"/>
              <w:right w:type="dxa" w:w="100"/>
            </w:tcMar>
          </w:tcPr>
          <w:p>
            <w:pPr>
              <w:spacing w:after="30" w:before="30" w:line="232"/>
            </w:pPr>
            <w:r>
              <w:rPr>
                <w:rFonts w:ascii="Calibri" w:cs="Calibri" w:eastAsia="Calibri" w:hAnsi="Calibri"/>
                <w:b/>
                <w:bCs/>
                <w:color w:val="FFFFFF"/>
                <w:sz w:val="19"/>
                <w:szCs w:val="19"/>
              </w:rPr>
              <w:t xml:space="preserve">Fix</w:t>
            </w:r>
          </w:p>
        </w:tc>
      </w:tr>
      <w:tr>
        <w:trPr>
          <w:cantSplit/>
          <w:tblHeader w:val="false"/>
        </w:trPr>
        <w:tc>
          <w:tcPr>
            <w:tcW w:type="dxa" w:w="2400"/>
            <w:tcMar>
              <w:top w:type="dxa" w:w="70"/>
              <w:left w:type="dxa" w:w="100"/>
              <w:bottom w:type="dxa" w:w="70"/>
              <w:right w:type="dxa" w:w="100"/>
            </w:tcMar>
          </w:tcPr>
          <w:p>
            <w:pPr>
              <w:spacing w:after="30" w:before="30" w:line="232"/>
            </w:pPr>
            <w:r>
              <w:rPr>
                <w:rFonts w:ascii="Calibri" w:cs="Calibri" w:eastAsia="Calibri" w:hAnsi="Calibri"/>
                <w:sz w:val="19"/>
                <w:szCs w:val="19"/>
              </w:rPr>
              <w:t xml:space="preserve">A declared feature carrying no information</w:t>
            </w:r>
          </w:p>
        </w:tc>
        <w:tc>
          <w:tcPr>
            <w:tcW w:type="dxa" w:w="4080"/>
            <w:tcMar>
              <w:top w:type="dxa" w:w="70"/>
              <w:left w:type="dxa" w:w="100"/>
              <w:bottom w:type="dxa" w:w="70"/>
              <w:right w:type="dxa" w:w="100"/>
            </w:tcMar>
          </w:tcPr>
          <w:p>
            <w:pPr>
              <w:spacing w:after="30" w:before="30" w:line="232"/>
            </w:pPr>
            <w:r>
              <w:rPr>
                <w:rFonts w:ascii="Calibri" w:cs="Calibri" w:eastAsia="Calibri" w:hAnsi="Calibri"/>
                <w:sz w:val="19"/>
                <w:szCs w:val="19"/>
              </w:rPr>
              <w:t xml:space="preserve">Receivers were drawn uniformly, so every account archetype had the same median first-time inbound count.</w:t>
            </w:r>
          </w:p>
        </w:tc>
        <w:tc>
          <w:tcPr>
            <w:tcW w:type="dxa" w:w="3600"/>
            <w:tcMar>
              <w:top w:type="dxa" w:w="70"/>
              <w:left w:type="dxa" w:w="100"/>
              <w:bottom w:type="dxa" w:w="70"/>
              <w:right w:type="dxa" w:w="100"/>
            </w:tcMar>
          </w:tcPr>
          <w:p>
            <w:pPr>
              <w:spacing w:after="30" w:before="30" w:line="232"/>
            </w:pPr>
            <w:r>
              <w:rPr>
                <w:rFonts w:ascii="Calibri" w:cs="Calibri" w:eastAsia="Calibri" w:hAnsi="Calibri"/>
                <w:sz w:val="19"/>
                <w:szCs w:val="19"/>
              </w:rPr>
              <w:t xml:space="preserve">Weighted receiver selection.</w:t>
            </w:r>
          </w:p>
        </w:tc>
      </w:tr>
      <w:tr>
        <w:trPr>
          <w:cantSplit/>
          <w:tblHeader w:val="false"/>
        </w:trPr>
        <w:tc>
          <w:tcPr>
            <w:tcW w:type="dxa" w:w="240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Precision reached 1.000</w:t>
            </w:r>
          </w:p>
        </w:tc>
        <w:tc>
          <w:tcPr>
            <w:tcW w:type="dxa" w:w="408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After that fix, mule accounts were the only ones both young and busy; one rule separated them perfectly.</w:t>
            </w:r>
          </w:p>
        </w:tc>
        <w:tc>
          <w:tcPr>
            <w:tcW w:type="dxa" w:w="360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A population of legitimate young, busy accounts.</w:t>
            </w:r>
          </w:p>
        </w:tc>
      </w:tr>
      <w:tr>
        <w:trPr>
          <w:cantSplit/>
          <w:tblHeader w:val="false"/>
        </w:trPr>
        <w:tc>
          <w:tcPr>
            <w:tcW w:type="dxa" w:w="2400"/>
            <w:tcMar>
              <w:top w:type="dxa" w:w="70"/>
              <w:left w:type="dxa" w:w="100"/>
              <w:bottom w:type="dxa" w:w="70"/>
              <w:right w:type="dxa" w:w="100"/>
            </w:tcMar>
          </w:tcPr>
          <w:p>
            <w:pPr>
              <w:spacing w:after="30" w:before="30" w:line="232"/>
            </w:pPr>
            <w:r>
              <w:rPr>
                <w:rFonts w:ascii="Calibri" w:cs="Calibri" w:eastAsia="Calibri" w:hAnsi="Calibri"/>
                <w:sz w:val="19"/>
                <w:szCs w:val="19"/>
              </w:rPr>
              <w:t xml:space="preserve">A timing fingerprint</w:t>
            </w:r>
          </w:p>
        </w:tc>
        <w:tc>
          <w:tcPr>
            <w:tcW w:type="dxa" w:w="4080"/>
            <w:tcMar>
              <w:top w:type="dxa" w:w="70"/>
              <w:left w:type="dxa" w:w="100"/>
              <w:bottom w:type="dxa" w:w="70"/>
              <w:right w:type="dxa" w:w="100"/>
            </w:tcMar>
          </w:tcPr>
          <w:p>
            <w:pPr>
              <w:spacing w:after="30" w:before="30" w:line="232"/>
            </w:pPr>
            <w:r>
              <w:rPr>
                <w:rFonts w:ascii="Calibri" w:cs="Calibri" w:eastAsia="Calibri" w:hAnsi="Calibri"/>
                <w:sz w:val="19"/>
                <w:szCs w:val="19"/>
              </w:rPr>
              <w:t xml:space="preserve">Archetypes shared constants, so every classic mule swept within the same narrow band. A single threshold scored F1 0.916.</w:t>
            </w:r>
          </w:p>
        </w:tc>
        <w:tc>
          <w:tcPr>
            <w:tcW w:type="dxa" w:w="3600"/>
            <w:tcMar>
              <w:top w:type="dxa" w:w="70"/>
              <w:left w:type="dxa" w:w="100"/>
              <w:bottom w:type="dxa" w:w="70"/>
              <w:right w:type="dxa" w:w="100"/>
            </w:tcMar>
          </w:tcPr>
          <w:p>
            <w:pPr>
              <w:spacing w:after="30" w:before="30" w:line="232"/>
            </w:pPr>
            <w:r>
              <w:rPr>
                <w:rFonts w:ascii="Calibri" w:cs="Calibri" w:eastAsia="Calibri" w:hAnsi="Calibri"/>
                <w:sz w:val="19"/>
                <w:szCs w:val="19"/>
              </w:rPr>
              <w:t xml:space="preserve">Per-account parameter draws, plus businesses on automatic treasury sweeps — indistinguishable from laundering by timing alone. F1 fell to 0.661.</w:t>
            </w:r>
          </w:p>
        </w:tc>
      </w:tr>
      <w:tr>
        <w:trPr>
          <w:cantSplit/>
          <w:tblHeader w:val="false"/>
        </w:trPr>
        <w:tc>
          <w:tcPr>
            <w:tcW w:type="dxa" w:w="240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Mule population mis-sized</w:t>
            </w:r>
          </w:p>
        </w:tc>
        <w:tc>
          <w:tcPr>
            <w:tcW w:type="dxa" w:w="408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A fixed share of accounts produced roughly four fraud payments per mule, far below any real campaign.</w:t>
            </w:r>
          </w:p>
        </w:tc>
        <w:tc>
          <w:tcPr>
            <w:tcW w:type="dxa" w:w="360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Derive the mule count from fraud volume.</w:t>
            </w:r>
          </w:p>
        </w:tc>
      </w:tr>
    </w:tbl>
    <w:p>
      <w:pPr>
        <w:spacing w:after="100"/>
      </w:pPr>
    </w:p>
    <w:p>
      <w:pPr>
        <w:spacing w:after="120" w:line="264"/>
        <w:jc w:val="both"/>
      </w:pPr>
      <w:r>
        <w:rPr>
          <w:rFonts w:ascii="Calibri" w:cs="Calibri" w:eastAsia="Calibri" w:hAnsi="Calibri"/>
          <w:sz w:val="21"/>
          <w:szCs w:val="21"/>
        </w:rPr>
        <w:t xml:space="preserve">The general rule this established: </w:t>
      </w:r>
      <w:r>
        <w:rPr>
          <w:rFonts w:ascii="Calibri" w:cs="Calibri" w:eastAsia="Calibri" w:hAnsi="Calibri"/>
          <w:b/>
          <w:bCs/>
          <w:sz w:val="21"/>
          <w:szCs w:val="21"/>
        </w:rPr>
        <w:t xml:space="preserve">when synthetic data produces a suspiciously good result, the data is wrong, not the model.</w:t>
      </w:r>
      <w:r>
        <w:rPr>
          <w:rFonts w:ascii="Calibri" w:cs="Calibri" w:eastAsia="Calibri" w:hAnsi="Calibri"/>
          <w:sz w:val="21"/>
          <w:szCs w:val="21"/>
        </w:rPr>
        <w:t xml:space="preserve"> It is corrected by adding legitimate lookalikes, never by weakening the detector.</w:t>
      </w:r>
    </w:p>
    <w:p>
      <w:pPr>
        <w:keepNext/>
        <w:keepLines/>
        <w:spacing w:after="80" w:before="180" w:line="270"/>
        <w:outlineLvl w:val="2"/>
      </w:pPr>
      <w:r>
        <w:rPr>
          <w:rFonts w:ascii="Calibri" w:cs="Calibri" w:eastAsia="Calibri" w:hAnsi="Calibri"/>
          <w:b/>
          <w:bCs/>
          <w:color w:val="1F4D78"/>
          <w:sz w:val="22"/>
          <w:szCs w:val="22"/>
        </w:rPr>
        <w:t xml:space="preserve">Evaluation discipline</w:t>
      </w:r>
    </w:p>
    <w:p>
      <w:pPr>
        <w:pStyle w:val="ListParagraph"/>
        <w:numPr>
          <w:ilvl w:val="0"/>
          <w:numId w:val="1"/>
        </w:numPr>
        <w:spacing w:after="80" w:line="264"/>
        <w:jc w:val="both"/>
      </w:pPr>
      <w:r>
        <w:rPr>
          <w:rFonts w:ascii="Calibri" w:cs="Calibri" w:eastAsia="Calibri" w:hAnsi="Calibri"/>
          <w:sz w:val="21"/>
          <w:szCs w:val="21"/>
        </w:rPr>
        <w:t xml:space="preserve">Train and test split temporally, never randomly, so no account’s future informs its past.</w:t>
      </w:r>
    </w:p>
    <w:p>
      <w:pPr>
        <w:pStyle w:val="ListParagraph"/>
        <w:numPr>
          <w:ilvl w:val="0"/>
          <w:numId w:val="1"/>
        </w:numPr>
        <w:spacing w:after="80" w:line="264"/>
        <w:jc w:val="both"/>
      </w:pPr>
      <w:r>
        <w:rPr>
          <w:rFonts w:ascii="Calibri" w:cs="Calibri" w:eastAsia="Calibri" w:hAnsi="Calibri"/>
          <w:sz w:val="21"/>
          <w:szCs w:val="21"/>
        </w:rPr>
        <w:t xml:space="preserve">A leakage test asserts that no post-outcome feature reaches the model.</w:t>
      </w:r>
    </w:p>
    <w:p>
      <w:pPr>
        <w:pStyle w:val="ListParagraph"/>
        <w:numPr>
          <w:ilvl w:val="0"/>
          <w:numId w:val="1"/>
        </w:numPr>
        <w:spacing w:after="80" w:line="264"/>
        <w:jc w:val="both"/>
      </w:pPr>
      <w:r>
        <w:rPr>
          <w:rFonts w:ascii="Calibri" w:cs="Calibri" w:eastAsia="Calibri" w:hAnsi="Calibri"/>
          <w:sz w:val="21"/>
          <w:szCs w:val="21"/>
        </w:rPr>
        <w:t xml:space="preserve">Capacity is swept from five to a hundred cases per hour rather than chosen, because the whole value argument rests on scarcity and a single flattering point is not evidence.</w:t>
      </w:r>
    </w:p>
    <w:p>
      <w:pPr>
        <w:pStyle w:val="ListParagraph"/>
        <w:numPr>
          <w:ilvl w:val="0"/>
          <w:numId w:val="1"/>
        </w:numPr>
        <w:spacing w:after="80" w:line="264"/>
        <w:jc w:val="both"/>
      </w:pPr>
      <w:r>
        <w:rPr>
          <w:rFonts w:ascii="Calibri" w:cs="Calibri" w:eastAsia="Calibri" w:hAnsi="Calibri"/>
          <w:sz w:val="21"/>
          <w:szCs w:val="21"/>
        </w:rPr>
        <w:t xml:space="preserve">The generated decay curve is checked against its published anchors within a stated tolerance.</w:t>
      </w:r>
    </w:p>
    <w:p>
      <w:pPr>
        <w:pStyle w:val="ListParagraph"/>
        <w:numPr>
          <w:ilvl w:val="0"/>
          <w:numId w:val="1"/>
        </w:numPr>
        <w:spacing w:after="80" w:line="264"/>
        <w:jc w:val="both"/>
      </w:pPr>
      <w:r>
        <w:rPr>
          <w:rFonts w:ascii="Calibri" w:cs="Calibri" w:eastAsia="Calibri" w:hAnsi="Calibri"/>
          <w:sz w:val="21"/>
          <w:szCs w:val="21"/>
        </w:rPr>
        <w:t xml:space="preserve">No single-feature threshold may achieve F1 above 0.75 on the recovery label; if one does, the generator is wrong.</w:t>
      </w:r>
    </w:p>
    <w:p>
      <w:pPr>
        <w:keepNext/>
        <w:keepLines/>
        <w:spacing w:after="120" w:before="260" w:line="300"/>
        <w:outlineLvl w:val="0"/>
      </w:pPr>
      <w:bookmarkStart w:name="s12" w:id="1"/>
      <w:r>
        <w:rPr>
          <w:rFonts w:ascii="Calibri" w:cs="Calibri" w:eastAsia="Calibri" w:hAnsi="Calibri"/>
          <w:b/>
          <w:bCs/>
          <w:color w:val="1F3A5F"/>
          <w:sz w:val="28"/>
          <w:szCs w:val="28"/>
        </w:rPr>
        <w:t xml:space="preserve">12. Scope, Assumptions and Dependencies</w:t>
      </w:r>
      <w:bookmarkEnd w:id="1"/>
    </w:p>
    <w:p>
      <w:pPr>
        <w:keepNext/>
        <w:keepLines/>
        <w:spacing w:after="80" w:before="180" w:line="270"/>
        <w:outlineLvl w:val="2"/>
      </w:pPr>
      <w:r>
        <w:rPr>
          <w:rFonts w:ascii="Calibri" w:cs="Calibri" w:eastAsia="Calibri" w:hAnsi="Calibri"/>
          <w:b/>
          <w:bCs/>
          <w:color w:val="1F4D78"/>
          <w:sz w:val="22"/>
          <w:szCs w:val="22"/>
        </w:rPr>
        <w:t xml:space="preserve">Assumptions, each labelled in code</w:t>
      </w:r>
    </w:p>
    <w:tbl>
      <w:tblPr>
        <w:tblW w:type="dxa" w:w="10080"/>
        <w:tblBorders>
          <w:top w:val="single" w:color="BBBBBB" w:sz="3"/>
          <w:left w:val="single" w:color="BBBBBB" w:sz="3"/>
          <w:bottom w:val="single" w:color="BBBBBB" w:sz="3"/>
          <w:right w:val="single" w:color="BBBBBB" w:sz="3"/>
          <w:insideH w:val="single" w:color="BBBBBB" w:sz="3"/>
          <w:insideV w:val="single" w:color="BBBBBB" w:sz="3"/>
        </w:tblBorders>
      </w:tblPr>
      <w:tblGrid>
        <w:gridCol w:w="2600"/>
        <w:gridCol w:w="3400"/>
        <w:gridCol w:w="4080"/>
      </w:tblGrid>
      <w:tr>
        <w:trPr>
          <w:cantSplit/>
          <w:tblHeader/>
        </w:trPr>
        <w:tc>
          <w:tcPr>
            <w:tcW w:type="dxa" w:w="2600"/>
            <w:shd w:fill="1F3A5F" w:color="auto" w:val="clear"/>
            <w:tcMar>
              <w:top w:type="dxa" w:w="70"/>
              <w:left w:type="dxa" w:w="100"/>
              <w:bottom w:type="dxa" w:w="70"/>
              <w:right w:type="dxa" w:w="100"/>
            </w:tcMar>
          </w:tcPr>
          <w:p>
            <w:pPr>
              <w:spacing w:after="30" w:before="30" w:line="232"/>
            </w:pPr>
            <w:r>
              <w:rPr>
                <w:rFonts w:ascii="Calibri" w:cs="Calibri" w:eastAsia="Calibri" w:hAnsi="Calibri"/>
                <w:b/>
                <w:bCs/>
                <w:color w:val="FFFFFF"/>
                <w:sz w:val="19"/>
                <w:szCs w:val="19"/>
              </w:rPr>
              <w:t xml:space="preserve">Assumption</w:t>
            </w:r>
          </w:p>
        </w:tc>
        <w:tc>
          <w:tcPr>
            <w:tcW w:type="dxa" w:w="3400"/>
            <w:shd w:fill="1F3A5F" w:color="auto" w:val="clear"/>
            <w:tcMar>
              <w:top w:type="dxa" w:w="70"/>
              <w:left w:type="dxa" w:w="100"/>
              <w:bottom w:type="dxa" w:w="70"/>
              <w:right w:type="dxa" w:w="100"/>
            </w:tcMar>
          </w:tcPr>
          <w:p>
            <w:pPr>
              <w:spacing w:after="30" w:before="30" w:line="232"/>
            </w:pPr>
            <w:r>
              <w:rPr>
                <w:rFonts w:ascii="Calibri" w:cs="Calibri" w:eastAsia="Calibri" w:hAnsi="Calibri"/>
                <w:b/>
                <w:bCs/>
                <w:color w:val="FFFFFF"/>
                <w:sz w:val="19"/>
                <w:szCs w:val="19"/>
              </w:rPr>
              <w:t xml:space="preserve">Basis</w:t>
            </w:r>
          </w:p>
        </w:tc>
        <w:tc>
          <w:tcPr>
            <w:tcW w:type="dxa" w:w="4080"/>
            <w:shd w:fill="1F3A5F" w:color="auto" w:val="clear"/>
            <w:tcMar>
              <w:top w:type="dxa" w:w="70"/>
              <w:left w:type="dxa" w:w="100"/>
              <w:bottom w:type="dxa" w:w="70"/>
              <w:right w:type="dxa" w:w="100"/>
            </w:tcMar>
          </w:tcPr>
          <w:p>
            <w:pPr>
              <w:spacing w:after="30" w:before="30" w:line="232"/>
            </w:pPr>
            <w:r>
              <w:rPr>
                <w:rFonts w:ascii="Calibri" w:cs="Calibri" w:eastAsia="Calibri" w:hAnsi="Calibri"/>
                <w:b/>
                <w:bCs/>
                <w:color w:val="FFFFFF"/>
                <w:sz w:val="19"/>
                <w:szCs w:val="19"/>
              </w:rPr>
              <w:t xml:space="preserve">Risk if wrong</w:t>
            </w:r>
          </w:p>
        </w:tc>
      </w:tr>
      <w:tr>
        <w:trPr>
          <w:cantSplit/>
          <w:tblHeader w:val="false"/>
        </w:trPr>
        <w:tc>
          <w:tcPr>
            <w:tcW w:type="dxa" w:w="2600"/>
            <w:tcMar>
              <w:top w:type="dxa" w:w="70"/>
              <w:left w:type="dxa" w:w="100"/>
              <w:bottom w:type="dxa" w:w="70"/>
              <w:right w:type="dxa" w:w="100"/>
            </w:tcMar>
          </w:tcPr>
          <w:p>
            <w:pPr>
              <w:spacing w:after="30" w:before="30" w:line="232"/>
            </w:pPr>
            <w:r>
              <w:rPr>
                <w:rFonts w:ascii="Calibri" w:cs="Calibri" w:eastAsia="Calibri" w:hAnsi="Calibri"/>
                <w:sz w:val="19"/>
                <w:szCs w:val="19"/>
              </w:rPr>
              <w:t xml:space="preserve">Funds decay as published UK mule data describes</w:t>
            </w:r>
          </w:p>
        </w:tc>
        <w:tc>
          <w:tcPr>
            <w:tcW w:type="dxa" w:w="3400"/>
            <w:tcMar>
              <w:top w:type="dxa" w:w="70"/>
              <w:left w:type="dxa" w:w="100"/>
              <w:bottom w:type="dxa" w:w="70"/>
              <w:right w:type="dxa" w:w="100"/>
            </w:tcMar>
          </w:tcPr>
          <w:p>
            <w:pPr>
              <w:spacing w:after="30" w:before="30" w:line="232"/>
            </w:pPr>
            <w:r>
              <w:rPr>
                <w:rFonts w:ascii="Calibri" w:cs="Calibri" w:eastAsia="Calibri" w:hAnsi="Calibri"/>
                <w:sz w:val="19"/>
                <w:szCs w:val="19"/>
              </w:rPr>
              <w:t xml:space="preserve">RUSI, July 2025, Lloyds Banking Group transactions</w:t>
            </w:r>
          </w:p>
        </w:tc>
        <w:tc>
          <w:tcPr>
            <w:tcW w:type="dxa" w:w="4080"/>
            <w:tcMar>
              <w:top w:type="dxa" w:w="70"/>
              <w:left w:type="dxa" w:w="100"/>
              <w:bottom w:type="dxa" w:w="70"/>
              <w:right w:type="dxa" w:w="100"/>
            </w:tcMar>
          </w:tcPr>
          <w:p>
            <w:pPr>
              <w:spacing w:after="30" w:before="30" w:line="232"/>
            </w:pPr>
            <w:r>
              <w:rPr>
                <w:rFonts w:ascii="Calibri" w:cs="Calibri" w:eastAsia="Calibri" w:hAnsi="Calibri"/>
                <w:sz w:val="19"/>
                <w:szCs w:val="19"/>
              </w:rPr>
              <w:t xml:space="preserve">The ranking objective is mis-weighted. No US dataset exists to check against; this is stated wherever the curve is used.</w:t>
            </w:r>
          </w:p>
        </w:tc>
      </w:tr>
      <w:tr>
        <w:trPr>
          <w:cantSplit/>
          <w:tblHeader w:val="false"/>
        </w:trPr>
        <w:tc>
          <w:tcPr>
            <w:tcW w:type="dxa" w:w="260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A 24-hour house-policy deadline is appropriate where a rail sets none</w:t>
            </w:r>
          </w:p>
        </w:tc>
        <w:tc>
          <w:tcPr>
            <w:tcW w:type="dxa" w:w="340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Derived from the decay curve, not from any rule</w:t>
            </w:r>
          </w:p>
        </w:tc>
        <w:tc>
          <w:tcPr>
            <w:tcW w:type="dxa" w:w="408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Operationally conservative. Labelled as our policy everywhere it is shown, and never presented to a counterparty as an obligation.</w:t>
            </w:r>
          </w:p>
        </w:tc>
      </w:tr>
      <w:tr>
        <w:trPr>
          <w:cantSplit/>
          <w:tblHeader w:val="false"/>
        </w:trPr>
        <w:tc>
          <w:tcPr>
            <w:tcW w:type="dxa" w:w="2600"/>
            <w:tcMar>
              <w:top w:type="dxa" w:w="70"/>
              <w:left w:type="dxa" w:w="100"/>
              <w:bottom w:type="dxa" w:w="70"/>
              <w:right w:type="dxa" w:w="100"/>
            </w:tcMar>
          </w:tcPr>
          <w:p>
            <w:pPr>
              <w:spacing w:after="30" w:before="30" w:line="232"/>
            </w:pPr>
            <w:r>
              <w:rPr>
                <w:rFonts w:ascii="Calibri" w:cs="Calibri" w:eastAsia="Calibri" w:hAnsi="Calibri"/>
                <w:sz w:val="19"/>
                <w:szCs w:val="19"/>
              </w:rPr>
              <w:t xml:space="preserve">RTP exempts fraud claims from its ten-banking-day window</w:t>
            </w:r>
          </w:p>
        </w:tc>
        <w:tc>
          <w:tcPr>
            <w:tcW w:type="dxa" w:w="3400"/>
            <w:tcMar>
              <w:top w:type="dxa" w:w="70"/>
              <w:left w:type="dxa" w:w="100"/>
              <w:bottom w:type="dxa" w:w="70"/>
              <w:right w:type="dxa" w:w="100"/>
            </w:tcMar>
          </w:tcPr>
          <w:p>
            <w:pPr>
              <w:spacing w:after="30" w:before="30" w:line="232"/>
            </w:pPr>
            <w:r>
              <w:rPr>
                <w:rFonts w:ascii="Calibri" w:cs="Calibri" w:eastAsia="Calibri" w:hAnsi="Calibri"/>
                <w:sz w:val="19"/>
                <w:szCs w:val="19"/>
              </w:rPr>
              <w:t xml:space="preserve">One credible secondary source quoting Operating Rule VII.C.2</w:t>
            </w:r>
          </w:p>
        </w:tc>
        <w:tc>
          <w:tcPr>
            <w:tcW w:type="dxa" w:w="4080"/>
            <w:tcMar>
              <w:top w:type="dxa" w:w="70"/>
              <w:left w:type="dxa" w:w="100"/>
              <w:bottom w:type="dxa" w:w="70"/>
              <w:right w:type="dxa" w:w="100"/>
            </w:tcMar>
          </w:tcPr>
          <w:p>
            <w:pPr>
              <w:spacing w:after="30" w:before="30" w:line="232"/>
            </w:pPr>
            <w:r>
              <w:rPr>
                <w:rFonts w:ascii="Calibri" w:cs="Calibri" w:eastAsia="Calibri" w:hAnsi="Calibri"/>
                <w:sz w:val="19"/>
                <w:szCs w:val="19"/>
              </w:rPr>
              <w:t xml:space="preserve">Recorded as unverified. Not permitted to drive a deadline; house policy applies instead.</w:t>
            </w:r>
          </w:p>
        </w:tc>
      </w:tr>
      <w:tr>
        <w:trPr>
          <w:cantSplit/>
          <w:tblHeader w:val="false"/>
        </w:trPr>
        <w:tc>
          <w:tcPr>
            <w:tcW w:type="dxa" w:w="260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FedNow sets no response window we could establish</w:t>
            </w:r>
          </w:p>
        </w:tc>
        <w:tc>
          <w:tcPr>
            <w:tcW w:type="dxa" w:w="340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Operating Circular 8 §9.8.3 says participants “should” respond; the Operating Procedures section holding any timeframe could not be retrieved</w:t>
            </w:r>
          </w:p>
        </w:tc>
        <w:tc>
          <w:tcPr>
            <w:tcW w:type="dxa" w:w="408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We may be applying a stricter deadline than the rail requires. Conservative in the right direction.</w:t>
            </w:r>
          </w:p>
        </w:tc>
      </w:tr>
      <w:tr>
        <w:trPr>
          <w:cantSplit/>
          <w:tblHeader w:val="false"/>
        </w:trPr>
        <w:tc>
          <w:tcPr>
            <w:tcW w:type="dxa" w:w="2600"/>
            <w:tcMar>
              <w:top w:type="dxa" w:w="70"/>
              <w:left w:type="dxa" w:w="100"/>
              <w:bottom w:type="dxa" w:w="70"/>
              <w:right w:type="dxa" w:w="100"/>
            </w:tcMar>
          </w:tcPr>
          <w:p>
            <w:pPr>
              <w:spacing w:after="30" w:before="30" w:line="232"/>
            </w:pPr>
            <w:r>
              <w:rPr>
                <w:rFonts w:ascii="Calibri" w:cs="Calibri" w:eastAsia="Calibri" w:hAnsi="Calibri"/>
                <w:sz w:val="19"/>
                <w:szCs w:val="19"/>
              </w:rPr>
              <w:t xml:space="preserve">Deadlines land at end of day UTC</w:t>
            </w:r>
          </w:p>
        </w:tc>
        <w:tc>
          <w:tcPr>
            <w:tcW w:type="dxa" w:w="3400"/>
            <w:tcMar>
              <w:top w:type="dxa" w:w="70"/>
              <w:left w:type="dxa" w:w="100"/>
              <w:bottom w:type="dxa" w:w="70"/>
              <w:right w:type="dxa" w:w="100"/>
            </w:tcMar>
          </w:tcPr>
          <w:p>
            <w:pPr>
              <w:spacing w:after="30" w:before="30" w:line="232"/>
            </w:pPr>
            <w:r>
              <w:rPr>
                <w:rFonts w:ascii="Calibri" w:cs="Calibri" w:eastAsia="Calibri" w:hAnsi="Calibri"/>
                <w:sz w:val="19"/>
                <w:szCs w:val="19"/>
              </w:rPr>
              <w:t xml:space="preserve">Simplification</w:t>
            </w:r>
          </w:p>
        </w:tc>
        <w:tc>
          <w:tcPr>
            <w:tcW w:type="dxa" w:w="4080"/>
            <w:tcMar>
              <w:top w:type="dxa" w:w="70"/>
              <w:left w:type="dxa" w:w="100"/>
              <w:bottom w:type="dxa" w:w="70"/>
              <w:right w:type="dxa" w:w="100"/>
            </w:tcMar>
          </w:tcPr>
          <w:p>
            <w:pPr>
              <w:spacing w:after="30" w:before="30" w:line="232"/>
            </w:pPr>
            <w:r>
              <w:rPr>
                <w:rFonts w:ascii="Calibri" w:cs="Calibri" w:eastAsia="Calibri" w:hAnsi="Calibri"/>
                <w:sz w:val="19"/>
                <w:szCs w:val="19"/>
              </w:rPr>
              <w:t xml:space="preserve">A real deployment uses the receiving institution’s local business timezone; the difference is several hours. Recorded rather than hidden.</w:t>
            </w:r>
          </w:p>
        </w:tc>
      </w:tr>
    </w:tbl>
    <w:p>
      <w:pPr>
        <w:spacing w:after="100"/>
      </w:pPr>
    </w:p>
    <w:p>
      <w:pPr>
        <w:keepNext/>
        <w:keepLines/>
        <w:spacing w:after="80" w:before="180" w:line="270"/>
        <w:outlineLvl w:val="2"/>
      </w:pPr>
      <w:r>
        <w:rPr>
          <w:rFonts w:ascii="Calibri" w:cs="Calibri" w:eastAsia="Calibri" w:hAnsi="Calibri"/>
          <w:b/>
          <w:bCs/>
          <w:color w:val="1F4D78"/>
          <w:sz w:val="22"/>
          <w:szCs w:val="22"/>
        </w:rPr>
        <w:t xml:space="preserve">Dependencies</w:t>
      </w:r>
    </w:p>
    <w:p>
      <w:pPr>
        <w:pStyle w:val="ListParagraph"/>
        <w:numPr>
          <w:ilvl w:val="0"/>
          <w:numId w:val="1"/>
        </w:numPr>
        <w:spacing w:after="80" w:line="264"/>
        <w:jc w:val="both"/>
      </w:pPr>
      <w:r>
        <w:rPr>
          <w:rFonts w:ascii="Calibri" w:cs="Calibri" w:eastAsia="Calibri" w:hAnsi="Calibri"/>
          <w:b/>
          <w:bCs/>
          <w:sz w:val="21"/>
          <w:szCs w:val="21"/>
        </w:rPr>
        <w:t xml:space="preserve">Primary sources behind paywalls.</w:t>
      </w:r>
      <w:r>
        <w:rPr>
          <w:rFonts w:ascii="Calibri" w:cs="Calibri" w:eastAsia="Calibri" w:hAnsi="Calibri"/>
          <w:sz w:val="21"/>
          <w:szCs w:val="21"/>
        </w:rPr>
        <w:t xml:space="preserve"> The FedNow Operating Procedures, the RTP Operating Rules, the Nacha Rules Book and the ISO 20022 external code sets are variously gated, robots-disallowed or paid. Roughly four factual claims rest on secondary sources and are flagged as such throughout.</w:t>
      </w:r>
    </w:p>
    <w:p>
      <w:pPr>
        <w:pStyle w:val="ListParagraph"/>
        <w:numPr>
          <w:ilvl w:val="0"/>
          <w:numId w:val="1"/>
        </w:numPr>
        <w:spacing w:after="80" w:line="264"/>
        <w:jc w:val="both"/>
      </w:pPr>
      <w:r>
        <w:rPr>
          <w:rFonts w:ascii="Calibri" w:cs="Calibri" w:eastAsia="Calibri" w:hAnsi="Calibri"/>
          <w:b/>
          <w:bCs/>
          <w:sz w:val="21"/>
          <w:szCs w:val="21"/>
        </w:rPr>
        <w:t xml:space="preserve">No production rail access.</w:t>
      </w:r>
      <w:r>
        <w:rPr>
          <w:rFonts w:ascii="Calibri" w:cs="Calibri" w:eastAsia="Calibri" w:hAnsi="Calibri"/>
          <w:sz w:val="21"/>
          <w:szCs w:val="21"/>
        </w:rPr>
        <w:t xml:space="preserve"> Every message in this build is synthetic or a golden fixture. Nothing has been exchanged with a real participant.</w:t>
      </w:r>
    </w:p>
    <w:p>
      <w:pPr>
        <w:pStyle w:val="ListParagraph"/>
        <w:numPr>
          <w:ilvl w:val="0"/>
          <w:numId w:val="1"/>
        </w:numPr>
        <w:spacing w:after="80" w:line="264"/>
        <w:jc w:val="both"/>
      </w:pPr>
      <w:r>
        <w:rPr>
          <w:rFonts w:ascii="Calibri" w:cs="Calibri" w:eastAsia="Calibri" w:hAnsi="Calibri"/>
          <w:b/>
          <w:bCs/>
          <w:sz w:val="21"/>
          <w:szCs w:val="21"/>
        </w:rPr>
        <w:t xml:space="preserve">No institutional data.</w:t>
      </w:r>
      <w:r>
        <w:rPr>
          <w:rFonts w:ascii="Calibri" w:cs="Calibri" w:eastAsia="Calibri" w:hAnsi="Calibri"/>
          <w:sz w:val="21"/>
          <w:szCs w:val="21"/>
        </w:rPr>
        <w:t xml:space="preserve"> Counterparty behaviour is generated, and is described as observed-in-testbed wherever it appears.</w:t>
      </w:r>
    </w:p>
    <w:p>
      <w:pPr>
        <w:keepNext/>
        <w:keepLines/>
        <w:spacing w:after="120" w:before="260" w:line="300"/>
        <w:outlineLvl w:val="0"/>
      </w:pPr>
      <w:bookmarkStart w:name="s13" w:id="1"/>
      <w:r>
        <w:rPr>
          <w:rFonts w:ascii="Calibri" w:cs="Calibri" w:eastAsia="Calibri" w:hAnsi="Calibri"/>
          <w:b/>
          <w:bCs/>
          <w:color w:val="1F3A5F"/>
          <w:sz w:val="28"/>
          <w:szCs w:val="28"/>
        </w:rPr>
        <w:t xml:space="preserve">13. Risks</w:t>
      </w:r>
      <w:bookmarkEnd w:id="1"/>
    </w:p>
    <w:tbl>
      <w:tblPr>
        <w:tblW w:type="dxa" w:w="10080"/>
        <w:tblBorders>
          <w:top w:val="single" w:color="BBBBBB" w:sz="3"/>
          <w:left w:val="single" w:color="BBBBBB" w:sz="3"/>
          <w:bottom w:val="single" w:color="BBBBBB" w:sz="3"/>
          <w:right w:val="single" w:color="BBBBBB" w:sz="3"/>
          <w:insideH w:val="single" w:color="BBBBBB" w:sz="3"/>
          <w:insideV w:val="single" w:color="BBBBBB" w:sz="3"/>
        </w:tblBorders>
      </w:tblPr>
      <w:tblGrid>
        <w:gridCol w:w="3520"/>
        <w:gridCol w:w="1080"/>
        <w:gridCol w:w="5480"/>
      </w:tblGrid>
      <w:tr>
        <w:trPr>
          <w:cantSplit/>
          <w:tblHeader/>
        </w:trPr>
        <w:tc>
          <w:tcPr>
            <w:tcW w:type="dxa" w:w="3520"/>
            <w:shd w:fill="1F3A5F" w:color="auto" w:val="clear"/>
            <w:tcMar>
              <w:top w:type="dxa" w:w="70"/>
              <w:left w:type="dxa" w:w="100"/>
              <w:bottom w:type="dxa" w:w="70"/>
              <w:right w:type="dxa" w:w="100"/>
            </w:tcMar>
          </w:tcPr>
          <w:p>
            <w:pPr>
              <w:spacing w:after="30" w:before="30" w:line="232"/>
            </w:pPr>
            <w:r>
              <w:rPr>
                <w:rFonts w:ascii="Calibri" w:cs="Calibri" w:eastAsia="Calibri" w:hAnsi="Calibri"/>
                <w:b/>
                <w:bCs/>
                <w:color w:val="FFFFFF"/>
                <w:sz w:val="19"/>
                <w:szCs w:val="19"/>
              </w:rPr>
              <w:t xml:space="preserve">Risk</w:t>
            </w:r>
          </w:p>
        </w:tc>
        <w:tc>
          <w:tcPr>
            <w:tcW w:type="dxa" w:w="1080"/>
            <w:shd w:fill="1F3A5F" w:color="auto" w:val="clear"/>
            <w:tcMar>
              <w:top w:type="dxa" w:w="70"/>
              <w:left w:type="dxa" w:w="100"/>
              <w:bottom w:type="dxa" w:w="70"/>
              <w:right w:type="dxa" w:w="100"/>
            </w:tcMar>
          </w:tcPr>
          <w:p>
            <w:pPr>
              <w:spacing w:after="30" w:before="30" w:line="232"/>
            </w:pPr>
            <w:r>
              <w:rPr>
                <w:rFonts w:ascii="Calibri" w:cs="Calibri" w:eastAsia="Calibri" w:hAnsi="Calibri"/>
                <w:b/>
                <w:bCs/>
                <w:color w:val="FFFFFF"/>
                <w:sz w:val="19"/>
                <w:szCs w:val="19"/>
              </w:rPr>
              <w:t xml:space="preserve">Severity</w:t>
            </w:r>
          </w:p>
        </w:tc>
        <w:tc>
          <w:tcPr>
            <w:tcW w:type="dxa" w:w="5480"/>
            <w:shd w:fill="1F3A5F" w:color="auto" w:val="clear"/>
            <w:tcMar>
              <w:top w:type="dxa" w:w="70"/>
              <w:left w:type="dxa" w:w="100"/>
              <w:bottom w:type="dxa" w:w="70"/>
              <w:right w:type="dxa" w:w="100"/>
            </w:tcMar>
          </w:tcPr>
          <w:p>
            <w:pPr>
              <w:spacing w:after="30" w:before="30" w:line="232"/>
            </w:pPr>
            <w:r>
              <w:rPr>
                <w:rFonts w:ascii="Calibri" w:cs="Calibri" w:eastAsia="Calibri" w:hAnsi="Calibri"/>
                <w:b/>
                <w:bCs/>
                <w:color w:val="FFFFFF"/>
                <w:sz w:val="19"/>
                <w:szCs w:val="19"/>
              </w:rPr>
              <w:t xml:space="preserve">Mitigation</w:t>
            </w:r>
          </w:p>
        </w:tc>
      </w:tr>
      <w:tr>
        <w:trPr>
          <w:cantSplit/>
          <w:tblHeader w:val="false"/>
        </w:trPr>
        <w:tc>
          <w:tcPr>
            <w:tcW w:type="dxa" w:w="3520"/>
            <w:tcMar>
              <w:top w:type="dxa" w:w="70"/>
              <w:left w:type="dxa" w:w="100"/>
              <w:bottom w:type="dxa" w:w="70"/>
              <w:right w:type="dxa" w:w="100"/>
            </w:tcMar>
          </w:tcPr>
          <w:p>
            <w:pPr>
              <w:spacing w:after="30" w:before="30" w:line="232"/>
            </w:pPr>
            <w:r>
              <w:rPr>
                <w:rFonts w:ascii="Calibri" w:cs="Calibri" w:eastAsia="Calibri" w:hAnsi="Calibri"/>
                <w:sz w:val="19"/>
                <w:szCs w:val="19"/>
              </w:rPr>
              <w:t xml:space="preserve">Mastercard brings Recover to the United States</w:t>
            </w:r>
          </w:p>
        </w:tc>
        <w:tc>
          <w:tcPr>
            <w:tcW w:type="dxa" w:w="1080"/>
            <w:tcMar>
              <w:top w:type="dxa" w:w="70"/>
              <w:left w:type="dxa" w:w="100"/>
              <w:bottom w:type="dxa" w:w="70"/>
              <w:right w:type="dxa" w:w="100"/>
            </w:tcMar>
          </w:tcPr>
          <w:p>
            <w:pPr>
              <w:spacing w:after="30" w:before="30" w:line="232"/>
            </w:pPr>
            <w:r>
              <w:rPr>
                <w:rFonts w:ascii="Calibri" w:cs="Calibri" w:eastAsia="Calibri" w:hAnsi="Calibri"/>
                <w:sz w:val="19"/>
                <w:szCs w:val="19"/>
              </w:rPr>
              <w:t xml:space="preserve">High</w:t>
            </w:r>
          </w:p>
        </w:tc>
        <w:tc>
          <w:tcPr>
            <w:tcW w:type="dxa" w:w="5480"/>
            <w:tcMar>
              <w:top w:type="dxa" w:w="70"/>
              <w:left w:type="dxa" w:w="100"/>
              <w:bottom w:type="dxa" w:w="70"/>
              <w:right w:type="dxa" w:w="100"/>
            </w:tcMar>
          </w:tcPr>
          <w:p>
            <w:pPr>
              <w:spacing w:after="30" w:before="30" w:line="232"/>
            </w:pPr>
            <w:r>
              <w:rPr>
                <w:rFonts w:ascii="Calibri" w:cs="Calibri" w:eastAsia="Calibri" w:hAnsi="Calibri"/>
                <w:sz w:val="19"/>
                <w:szCs w:val="19"/>
              </w:rPr>
              <w:t xml:space="preserve">Reframes this from a gap to a competitive question. Monitored; the response is to compete on cross-rail coverage, which Recover does not have in its UK form.</w:t>
            </w:r>
          </w:p>
        </w:tc>
      </w:tr>
      <w:tr>
        <w:trPr>
          <w:cantSplit/>
          <w:tblHeader w:val="false"/>
        </w:trPr>
        <w:tc>
          <w:tcPr>
            <w:tcW w:type="dxa" w:w="352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An unverified rail rule is wrong</w:t>
            </w:r>
          </w:p>
        </w:tc>
        <w:tc>
          <w:tcPr>
            <w:tcW w:type="dxa" w:w="108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High</w:t>
            </w:r>
          </w:p>
        </w:tc>
        <w:tc>
          <w:tcPr>
            <w:tcW w:type="dxa" w:w="548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Unverified rules cannot drive deadlines by construction — the accessor raises rather than returning a number. House policy applies visibly instead.</w:t>
            </w:r>
          </w:p>
        </w:tc>
      </w:tr>
      <w:tr>
        <w:trPr>
          <w:cantSplit/>
          <w:tblHeader w:val="false"/>
        </w:trPr>
        <w:tc>
          <w:tcPr>
            <w:tcW w:type="dxa" w:w="3520"/>
            <w:tcMar>
              <w:top w:type="dxa" w:w="70"/>
              <w:left w:type="dxa" w:w="100"/>
              <w:bottom w:type="dxa" w:w="70"/>
              <w:right w:type="dxa" w:w="100"/>
            </w:tcMar>
          </w:tcPr>
          <w:p>
            <w:pPr>
              <w:spacing w:after="30" w:before="30" w:line="232"/>
            </w:pPr>
            <w:r>
              <w:rPr>
                <w:rFonts w:ascii="Calibri" w:cs="Calibri" w:eastAsia="Calibri" w:hAnsi="Calibri"/>
                <w:sz w:val="19"/>
                <w:szCs w:val="19"/>
              </w:rPr>
              <w:t xml:space="preserve">The UK decay curve does not hold in the United States</w:t>
            </w:r>
          </w:p>
        </w:tc>
        <w:tc>
          <w:tcPr>
            <w:tcW w:type="dxa" w:w="1080"/>
            <w:tcMar>
              <w:top w:type="dxa" w:w="70"/>
              <w:left w:type="dxa" w:w="100"/>
              <w:bottom w:type="dxa" w:w="70"/>
              <w:right w:type="dxa" w:w="100"/>
            </w:tcMar>
          </w:tcPr>
          <w:p>
            <w:pPr>
              <w:spacing w:after="30" w:before="30" w:line="232"/>
            </w:pPr>
            <w:r>
              <w:rPr>
                <w:rFonts w:ascii="Calibri" w:cs="Calibri" w:eastAsia="Calibri" w:hAnsi="Calibri"/>
                <w:sz w:val="19"/>
                <w:szCs w:val="19"/>
              </w:rPr>
              <w:t xml:space="preserve">Medium</w:t>
            </w:r>
          </w:p>
        </w:tc>
        <w:tc>
          <w:tcPr>
            <w:tcW w:type="dxa" w:w="5480"/>
            <w:tcMar>
              <w:top w:type="dxa" w:w="70"/>
              <w:left w:type="dxa" w:w="100"/>
              <w:bottom w:type="dxa" w:w="70"/>
              <w:right w:type="dxa" w:w="100"/>
            </w:tcMar>
          </w:tcPr>
          <w:p>
            <w:pPr>
              <w:spacing w:after="30" w:before="30" w:line="232"/>
            </w:pPr>
            <w:r>
              <w:rPr>
                <w:rFonts w:ascii="Calibri" w:cs="Calibri" w:eastAsia="Calibri" w:hAnsi="Calibri"/>
                <w:sz w:val="19"/>
                <w:szCs w:val="19"/>
              </w:rPr>
              <w:t xml:space="preserve">Labelled as an assumption in code and in every report. The ranking objective degrades gracefully: even a wrong curve beats arrival order provided decay is monotonic.</w:t>
            </w:r>
          </w:p>
        </w:tc>
      </w:tr>
      <w:tr>
        <w:trPr>
          <w:cantSplit/>
          <w:tblHeader w:val="false"/>
        </w:trPr>
        <w:tc>
          <w:tcPr>
            <w:tcW w:type="dxa" w:w="352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Free-text extraction files a wrong case</w:t>
            </w:r>
          </w:p>
        </w:tc>
        <w:tc>
          <w:tcPr>
            <w:tcW w:type="dxa" w:w="108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High</w:t>
            </w:r>
          </w:p>
        </w:tc>
        <w:tc>
          <w:tcPr>
            <w:tcW w:type="dxa" w:w="548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Structurally prevented. Extraction produces a draft; only an identified operator can file one, and no confidence level bypasses that.</w:t>
            </w:r>
          </w:p>
        </w:tc>
      </w:tr>
      <w:tr>
        <w:trPr>
          <w:cantSplit/>
          <w:tblHeader w:val="false"/>
        </w:trPr>
        <w:tc>
          <w:tcPr>
            <w:tcW w:type="dxa" w:w="3520"/>
            <w:tcMar>
              <w:top w:type="dxa" w:w="70"/>
              <w:left w:type="dxa" w:w="100"/>
              <w:bottom w:type="dxa" w:w="70"/>
              <w:right w:type="dxa" w:w="100"/>
            </w:tcMar>
          </w:tcPr>
          <w:p>
            <w:pPr>
              <w:spacing w:after="30" w:before="30" w:line="232"/>
            </w:pPr>
            <w:r>
              <w:rPr>
                <w:rFonts w:ascii="Calibri" w:cs="Calibri" w:eastAsia="Calibri" w:hAnsi="Calibri"/>
                <w:sz w:val="19"/>
                <w:szCs w:val="19"/>
              </w:rPr>
              <w:t xml:space="preserve">A counterparty sends a message variant we mishandle</w:t>
            </w:r>
          </w:p>
        </w:tc>
        <w:tc>
          <w:tcPr>
            <w:tcW w:type="dxa" w:w="1080"/>
            <w:tcMar>
              <w:top w:type="dxa" w:w="70"/>
              <w:left w:type="dxa" w:w="100"/>
              <w:bottom w:type="dxa" w:w="70"/>
              <w:right w:type="dxa" w:w="100"/>
            </w:tcMar>
          </w:tcPr>
          <w:p>
            <w:pPr>
              <w:spacing w:after="30" w:before="30" w:line="232"/>
            </w:pPr>
            <w:r>
              <w:rPr>
                <w:rFonts w:ascii="Calibri" w:cs="Calibri" w:eastAsia="Calibri" w:hAnsi="Calibri"/>
                <w:sz w:val="19"/>
                <w:szCs w:val="19"/>
              </w:rPr>
              <w:t xml:space="preserve">Medium</w:t>
            </w:r>
          </w:p>
        </w:tc>
        <w:tc>
          <w:tcPr>
            <w:tcW w:type="dxa" w:w="5480"/>
            <w:tcMar>
              <w:top w:type="dxa" w:w="70"/>
              <w:left w:type="dxa" w:w="100"/>
              <w:bottom w:type="dxa" w:w="70"/>
              <w:right w:type="dxa" w:w="100"/>
            </w:tcMar>
          </w:tcPr>
          <w:p>
            <w:pPr>
              <w:spacing w:after="30" w:before="30" w:line="232"/>
            </w:pPr>
            <w:r>
              <w:rPr>
                <w:rFonts w:ascii="Calibri" w:cs="Calibri" w:eastAsia="Calibri" w:hAnsi="Calibri"/>
                <w:sz w:val="19"/>
                <w:szCs w:val="19"/>
              </w:rPr>
              <w:t xml:space="preserve">Parsers match on local element names rather than exact namespaces, and semantic round-trip tests cover prefix, whitespace, line-ending and timestamp-offset variation.</w:t>
            </w:r>
          </w:p>
        </w:tc>
      </w:tr>
      <w:tr>
        <w:trPr>
          <w:cantSplit/>
          <w:tblHeader w:val="false"/>
        </w:trPr>
        <w:tc>
          <w:tcPr>
            <w:tcW w:type="dxa" w:w="352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Banking-day arithmetic is wrong</w:t>
            </w:r>
          </w:p>
        </w:tc>
        <w:tc>
          <w:tcPr>
            <w:tcW w:type="dxa" w:w="108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High</w:t>
            </w:r>
          </w:p>
        </w:tc>
        <w:tc>
          <w:tcPr>
            <w:tcW w:type="dxa" w:w="548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The Saturday and Sunday observance rules are asymmetric and commonly conflated. Verified against the Federal Reserve’s published schedule for 2026 and 2027, including all three Saturday cases where Reserve Banks stay open.</w:t>
            </w:r>
          </w:p>
        </w:tc>
      </w:tr>
      <w:tr>
        <w:trPr>
          <w:cantSplit/>
          <w:tblHeader w:val="false"/>
        </w:trPr>
        <w:tc>
          <w:tcPr>
            <w:tcW w:type="dxa" w:w="3520"/>
            <w:tcMar>
              <w:top w:type="dxa" w:w="70"/>
              <w:left w:type="dxa" w:w="100"/>
              <w:bottom w:type="dxa" w:w="70"/>
              <w:right w:type="dxa" w:w="100"/>
            </w:tcMar>
          </w:tcPr>
          <w:p>
            <w:pPr>
              <w:spacing w:after="30" w:before="30" w:line="232"/>
            </w:pPr>
            <w:r>
              <w:rPr>
                <w:rFonts w:ascii="Calibri" w:cs="Calibri" w:eastAsia="Calibri" w:hAnsi="Calibri"/>
                <w:sz w:val="19"/>
                <w:szCs w:val="19"/>
              </w:rPr>
              <w:t xml:space="preserve">The project is read as a fraud-detection claim</w:t>
            </w:r>
          </w:p>
        </w:tc>
        <w:tc>
          <w:tcPr>
            <w:tcW w:type="dxa" w:w="1080"/>
            <w:tcMar>
              <w:top w:type="dxa" w:w="70"/>
              <w:left w:type="dxa" w:w="100"/>
              <w:bottom w:type="dxa" w:w="70"/>
              <w:right w:type="dxa" w:w="100"/>
            </w:tcMar>
          </w:tcPr>
          <w:p>
            <w:pPr>
              <w:spacing w:after="30" w:before="30" w:line="232"/>
            </w:pPr>
            <w:r>
              <w:rPr>
                <w:rFonts w:ascii="Calibri" w:cs="Calibri" w:eastAsia="Calibri" w:hAnsi="Calibri"/>
                <w:sz w:val="19"/>
                <w:szCs w:val="19"/>
              </w:rPr>
              <w:t xml:space="preserve">Medium</w:t>
            </w:r>
          </w:p>
        </w:tc>
        <w:tc>
          <w:tcPr>
            <w:tcW w:type="dxa" w:w="5480"/>
            <w:tcMar>
              <w:top w:type="dxa" w:w="70"/>
              <w:left w:type="dxa" w:w="100"/>
              <w:bottom w:type="dxa" w:w="70"/>
              <w:right w:type="dxa" w:w="100"/>
            </w:tcMar>
          </w:tcPr>
          <w:p>
            <w:pPr>
              <w:spacing w:after="30" w:before="30" w:line="232"/>
            </w:pPr>
            <w:r>
              <w:rPr>
                <w:rFonts w:ascii="Calibri" w:cs="Calibri" w:eastAsia="Calibri" w:hAnsi="Calibri"/>
                <w:sz w:val="19"/>
                <w:szCs w:val="19"/>
              </w:rPr>
              <w:t xml:space="preserve">Stated as a non-goal in Section 4, absent from the metrics in Section 10, and disclaimed in Section 8.</w:t>
            </w:r>
          </w:p>
        </w:tc>
      </w:tr>
    </w:tbl>
    <w:p>
      <w:pPr>
        <w:spacing w:after="100"/>
      </w:pPr>
    </w:p>
    <w:p>
      <w:pPr>
        <w:keepNext/>
        <w:keepLines/>
        <w:spacing w:after="120" w:before="260" w:line="300"/>
        <w:outlineLvl w:val="0"/>
      </w:pPr>
      <w:bookmarkStart w:name="s14" w:id="1"/>
      <w:r>
        <w:rPr>
          <w:rFonts w:ascii="Calibri" w:cs="Calibri" w:eastAsia="Calibri" w:hAnsi="Calibri"/>
          <w:b/>
          <w:bCs/>
          <w:color w:val="1F3A5F"/>
          <w:sz w:val="28"/>
          <w:szCs w:val="28"/>
        </w:rPr>
        <w:t xml:space="preserve">14. Milestones and Build Status</w:t>
      </w:r>
      <w:bookmarkEnd w:id="1"/>
    </w:p>
    <w:tbl>
      <w:tblPr>
        <w:tblW w:type="dxa" w:w="10080"/>
        <w:tblBorders>
          <w:top w:val="single" w:color="BBBBBB" w:sz="3"/>
          <w:left w:val="single" w:color="BBBBBB" w:sz="3"/>
          <w:bottom w:val="single" w:color="BBBBBB" w:sz="3"/>
          <w:right w:val="single" w:color="BBBBBB" w:sz="3"/>
          <w:insideH w:val="single" w:color="BBBBBB" w:sz="3"/>
          <w:insideV w:val="single" w:color="BBBBBB" w:sz="3"/>
        </w:tblBorders>
      </w:tblPr>
      <w:tblGrid>
        <w:gridCol w:w="2800"/>
        <w:gridCol w:w="5880"/>
        <w:gridCol w:w="1400"/>
      </w:tblGrid>
      <w:tr>
        <w:trPr>
          <w:cantSplit/>
          <w:tblHeader/>
        </w:trPr>
        <w:tc>
          <w:tcPr>
            <w:tcW w:type="dxa" w:w="2800"/>
            <w:shd w:fill="1F3A5F" w:color="auto" w:val="clear"/>
            <w:tcMar>
              <w:top w:type="dxa" w:w="70"/>
              <w:left w:type="dxa" w:w="100"/>
              <w:bottom w:type="dxa" w:w="70"/>
              <w:right w:type="dxa" w:w="100"/>
            </w:tcMar>
          </w:tcPr>
          <w:p>
            <w:pPr>
              <w:spacing w:after="30" w:before="30" w:line="232"/>
            </w:pPr>
            <w:r>
              <w:rPr>
                <w:rFonts w:ascii="Calibri" w:cs="Calibri" w:eastAsia="Calibri" w:hAnsi="Calibri"/>
                <w:b/>
                <w:bCs/>
                <w:color w:val="FFFFFF"/>
                <w:sz w:val="19"/>
                <w:szCs w:val="19"/>
              </w:rPr>
              <w:t xml:space="preserve">Milestone</w:t>
            </w:r>
          </w:p>
        </w:tc>
        <w:tc>
          <w:tcPr>
            <w:tcW w:type="dxa" w:w="5880"/>
            <w:shd w:fill="1F3A5F" w:color="auto" w:val="clear"/>
            <w:tcMar>
              <w:top w:type="dxa" w:w="70"/>
              <w:left w:type="dxa" w:w="100"/>
              <w:bottom w:type="dxa" w:w="70"/>
              <w:right w:type="dxa" w:w="100"/>
            </w:tcMar>
          </w:tcPr>
          <w:p>
            <w:pPr>
              <w:spacing w:after="30" w:before="30" w:line="232"/>
            </w:pPr>
            <w:r>
              <w:rPr>
                <w:rFonts w:ascii="Calibri" w:cs="Calibri" w:eastAsia="Calibri" w:hAnsi="Calibri"/>
                <w:b/>
                <w:bCs/>
                <w:color w:val="FFFFFF"/>
                <w:sz w:val="19"/>
                <w:szCs w:val="19"/>
              </w:rPr>
              <w:t xml:space="preserve">Scope</w:t>
            </w:r>
          </w:p>
        </w:tc>
        <w:tc>
          <w:tcPr>
            <w:tcW w:type="dxa" w:w="1400"/>
            <w:shd w:fill="1F3A5F" w:color="auto" w:val="clear"/>
            <w:tcMar>
              <w:top w:type="dxa" w:w="70"/>
              <w:left w:type="dxa" w:w="100"/>
              <w:bottom w:type="dxa" w:w="70"/>
              <w:right w:type="dxa" w:w="100"/>
            </w:tcMar>
          </w:tcPr>
          <w:p>
            <w:pPr>
              <w:spacing w:after="30" w:before="30" w:line="232"/>
            </w:pPr>
            <w:r>
              <w:rPr>
                <w:rFonts w:ascii="Calibri" w:cs="Calibri" w:eastAsia="Calibri" w:hAnsi="Calibri"/>
                <w:b/>
                <w:bCs/>
                <w:color w:val="FFFFFF"/>
                <w:sz w:val="19"/>
                <w:szCs w:val="19"/>
              </w:rPr>
              <w:t xml:space="preserve">State</w:t>
            </w:r>
          </w:p>
        </w:tc>
      </w:tr>
      <w:tr>
        <w:trPr>
          <w:cantSplit/>
          <w:tblHeader w:val="false"/>
        </w:trPr>
        <w:tc>
          <w:tcPr>
            <w:tcW w:type="dxa" w:w="2800"/>
            <w:tcMar>
              <w:top w:type="dxa" w:w="70"/>
              <w:left w:type="dxa" w:w="100"/>
              <w:bottom w:type="dxa" w:w="70"/>
              <w:right w:type="dxa" w:w="100"/>
            </w:tcMar>
          </w:tcPr>
          <w:p>
            <w:pPr>
              <w:spacing w:after="30" w:before="30" w:line="232"/>
            </w:pPr>
            <w:r>
              <w:rPr>
                <w:rFonts w:ascii="Calibri" w:cs="Calibri" w:eastAsia="Calibri" w:hAnsi="Calibri"/>
                <w:sz w:val="19"/>
                <w:szCs w:val="19"/>
              </w:rPr>
              <w:t xml:space="preserve">M0 — Toolchain</w:t>
            </w:r>
          </w:p>
        </w:tc>
        <w:tc>
          <w:tcPr>
            <w:tcW w:type="dxa" w:w="5880"/>
            <w:tcMar>
              <w:top w:type="dxa" w:w="70"/>
              <w:left w:type="dxa" w:w="100"/>
              <w:bottom w:type="dxa" w:w="70"/>
              <w:right w:type="dxa" w:w="100"/>
            </w:tcMar>
          </w:tcPr>
          <w:p>
            <w:pPr>
              <w:spacing w:after="30" w:before="30" w:line="232"/>
            </w:pPr>
            <w:r>
              <w:rPr>
                <w:rFonts w:ascii="Calibri" w:cs="Calibri" w:eastAsia="Calibri" w:hAnsi="Calibri"/>
                <w:sz w:val="19"/>
                <w:szCs w:val="19"/>
              </w:rPr>
              <w:t xml:space="preserve">Python packaging, CI pipeline, lint and coverage gates.</w:t>
            </w:r>
          </w:p>
        </w:tc>
        <w:tc>
          <w:tcPr>
            <w:tcW w:type="dxa" w:w="1400"/>
            <w:tcMar>
              <w:top w:type="dxa" w:w="70"/>
              <w:left w:type="dxa" w:w="100"/>
              <w:bottom w:type="dxa" w:w="70"/>
              <w:right w:type="dxa" w:w="100"/>
            </w:tcMar>
          </w:tcPr>
          <w:p>
            <w:pPr>
              <w:spacing w:after="30" w:before="30" w:line="232"/>
            </w:pPr>
            <w:r>
              <w:rPr>
                <w:rFonts w:ascii="Calibri" w:cs="Calibri" w:eastAsia="Calibri" w:hAnsi="Calibri"/>
                <w:sz w:val="19"/>
                <w:szCs w:val="19"/>
              </w:rPr>
              <w:t xml:space="preserve">Complete</w:t>
            </w:r>
          </w:p>
        </w:tc>
      </w:tr>
      <w:tr>
        <w:trPr>
          <w:cantSplit/>
          <w:tblHeader w:val="false"/>
        </w:trPr>
        <w:tc>
          <w:tcPr>
            <w:tcW w:type="dxa" w:w="280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M1 — Wire schema</w:t>
            </w:r>
          </w:p>
        </w:tc>
        <w:tc>
          <w:tcPr>
            <w:tcW w:type="dxa" w:w="588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Typed models, hash-chained audit, privacy allowlist, protocol version negotiation.</w:t>
            </w:r>
          </w:p>
        </w:tc>
        <w:tc>
          <w:tcPr>
            <w:tcW w:type="dxa" w:w="140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Complete</w:t>
            </w:r>
          </w:p>
        </w:tc>
      </w:tr>
      <w:tr>
        <w:trPr>
          <w:cantSplit/>
          <w:tblHeader w:val="false"/>
        </w:trPr>
        <w:tc>
          <w:tcPr>
            <w:tcW w:type="dxa" w:w="2800"/>
            <w:tcMar>
              <w:top w:type="dxa" w:w="70"/>
              <w:left w:type="dxa" w:w="100"/>
              <w:bottom w:type="dxa" w:w="70"/>
              <w:right w:type="dxa" w:w="100"/>
            </w:tcMar>
          </w:tcPr>
          <w:p>
            <w:pPr>
              <w:spacing w:after="30" w:before="30" w:line="232"/>
            </w:pPr>
            <w:r>
              <w:rPr>
                <w:rFonts w:ascii="Calibri" w:cs="Calibri" w:eastAsia="Calibri" w:hAnsi="Calibri"/>
                <w:sz w:val="19"/>
                <w:szCs w:val="19"/>
              </w:rPr>
              <w:t xml:space="preserve">M2 — Synthetic testbed</w:t>
            </w:r>
          </w:p>
        </w:tc>
        <w:tc>
          <w:tcPr>
            <w:tcW w:type="dxa" w:w="5880"/>
            <w:tcMar>
              <w:top w:type="dxa" w:w="70"/>
              <w:left w:type="dxa" w:w="100"/>
              <w:bottom w:type="dxa" w:w="70"/>
              <w:right w:type="dxa" w:w="100"/>
            </w:tcMar>
          </w:tcPr>
          <w:p>
            <w:pPr>
              <w:spacing w:after="30" w:before="30" w:line="232"/>
            </w:pPr>
            <w:r>
              <w:rPr>
                <w:rFonts w:ascii="Calibri" w:cs="Calibri" w:eastAsia="Calibri" w:hAnsi="Calibri"/>
                <w:sz w:val="19"/>
                <w:szCs w:val="19"/>
              </w:rPr>
              <w:t xml:space="preserve">Four-institution population, per-account behaviour, continuous mule sophistication, temporal model.</w:t>
            </w:r>
          </w:p>
        </w:tc>
        <w:tc>
          <w:tcPr>
            <w:tcW w:type="dxa" w:w="1400"/>
            <w:tcMar>
              <w:top w:type="dxa" w:w="70"/>
              <w:left w:type="dxa" w:w="100"/>
              <w:bottom w:type="dxa" w:w="70"/>
              <w:right w:type="dxa" w:w="100"/>
            </w:tcMar>
          </w:tcPr>
          <w:p>
            <w:pPr>
              <w:spacing w:after="30" w:before="30" w:line="232"/>
            </w:pPr>
            <w:r>
              <w:rPr>
                <w:rFonts w:ascii="Calibri" w:cs="Calibri" w:eastAsia="Calibri" w:hAnsi="Calibri"/>
                <w:sz w:val="19"/>
                <w:szCs w:val="19"/>
              </w:rPr>
              <w:t xml:space="preserve">Complete</w:t>
            </w:r>
          </w:p>
        </w:tc>
      </w:tr>
      <w:tr>
        <w:trPr>
          <w:cantSplit/>
          <w:tblHeader w:val="false"/>
        </w:trPr>
        <w:tc>
          <w:tcPr>
            <w:tcW w:type="dxa" w:w="280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M3 — Case model and adapters</w:t>
            </w:r>
          </w:p>
        </w:tc>
        <w:tc>
          <w:tcPr>
            <w:tcW w:type="dxa" w:w="588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Canonical case, rail capability matrix with provenance, camt.056, camt.029, ACH request and return adapters, free-text intake interface.</w:t>
            </w:r>
          </w:p>
        </w:tc>
        <w:tc>
          <w:tcPr>
            <w:tcW w:type="dxa" w:w="140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Complete</w:t>
            </w:r>
          </w:p>
        </w:tc>
      </w:tr>
      <w:tr>
        <w:trPr>
          <w:cantSplit/>
          <w:tblHeader w:val="false"/>
        </w:trPr>
        <w:tc>
          <w:tcPr>
            <w:tcW w:type="dxa" w:w="2800"/>
            <w:tcMar>
              <w:top w:type="dxa" w:w="70"/>
              <w:left w:type="dxa" w:w="100"/>
              <w:bottom w:type="dxa" w:w="70"/>
              <w:right w:type="dxa" w:w="100"/>
            </w:tcMar>
          </w:tcPr>
          <w:p>
            <w:pPr>
              <w:spacing w:after="30" w:before="30" w:line="232"/>
            </w:pPr>
            <w:r>
              <w:rPr>
                <w:rFonts w:ascii="Calibri" w:cs="Calibri" w:eastAsia="Calibri" w:hAnsi="Calibri"/>
                <w:sz w:val="19"/>
                <w:szCs w:val="19"/>
              </w:rPr>
              <w:t xml:space="preserve">M4 — SLA and disposition ledger</w:t>
            </w:r>
          </w:p>
        </w:tc>
        <w:tc>
          <w:tcPr>
            <w:tcW w:type="dxa" w:w="5880"/>
            <w:tcMar>
              <w:top w:type="dxa" w:w="70"/>
              <w:left w:type="dxa" w:w="100"/>
              <w:bottom w:type="dxa" w:w="70"/>
              <w:right w:type="dxa" w:w="100"/>
            </w:tcMar>
          </w:tcPr>
          <w:p>
            <w:pPr>
              <w:spacing w:after="30" w:before="30" w:line="232"/>
            </w:pPr>
            <w:r>
              <w:rPr>
                <w:rFonts w:ascii="Calibri" w:cs="Calibri" w:eastAsia="Calibri" w:hAnsi="Calibri"/>
                <w:sz w:val="19"/>
                <w:szCs w:val="19"/>
              </w:rPr>
              <w:t xml:space="preserve">Federal Reserve banking-day calendar, per-rail clocks, case state machine, disposition ledger, evidence export.</w:t>
            </w:r>
          </w:p>
        </w:tc>
        <w:tc>
          <w:tcPr>
            <w:tcW w:type="dxa" w:w="1400"/>
            <w:tcMar>
              <w:top w:type="dxa" w:w="70"/>
              <w:left w:type="dxa" w:w="100"/>
              <w:bottom w:type="dxa" w:w="70"/>
              <w:right w:type="dxa" w:w="100"/>
            </w:tcMar>
          </w:tcPr>
          <w:p>
            <w:pPr>
              <w:spacing w:after="30" w:before="30" w:line="232"/>
            </w:pPr>
            <w:r>
              <w:rPr>
                <w:rFonts w:ascii="Calibri" w:cs="Calibri" w:eastAsia="Calibri" w:hAnsi="Calibri"/>
                <w:sz w:val="19"/>
                <w:szCs w:val="19"/>
              </w:rPr>
              <w:t xml:space="preserve">In progress</w:t>
            </w:r>
          </w:p>
        </w:tc>
      </w:tr>
      <w:tr>
        <w:trPr>
          <w:cantSplit/>
          <w:tblHeader w:val="false"/>
        </w:trPr>
        <w:tc>
          <w:tcPr>
            <w:tcW w:type="dxa" w:w="280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M5 — Recall case generator</w:t>
            </w:r>
          </w:p>
        </w:tc>
        <w:tc>
          <w:tcPr>
            <w:tcW w:type="dxa" w:w="588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Recall cases with outcome labels, decay calibration, heterogeneous counterparties, temporal splits.</w:t>
            </w:r>
          </w:p>
        </w:tc>
        <w:tc>
          <w:tcPr>
            <w:tcW w:type="dxa" w:w="140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Planned</w:t>
            </w:r>
          </w:p>
        </w:tc>
      </w:tr>
      <w:tr>
        <w:trPr>
          <w:cantSplit/>
          <w:tblHeader w:val="false"/>
        </w:trPr>
        <w:tc>
          <w:tcPr>
            <w:tcW w:type="dxa" w:w="2800"/>
            <w:tcMar>
              <w:top w:type="dxa" w:w="70"/>
              <w:left w:type="dxa" w:w="100"/>
              <w:bottom w:type="dxa" w:w="70"/>
              <w:right w:type="dxa" w:w="100"/>
            </w:tcMar>
          </w:tcPr>
          <w:p>
            <w:pPr>
              <w:spacing w:after="30" w:before="30" w:line="232"/>
            </w:pPr>
            <w:r>
              <w:rPr>
                <w:rFonts w:ascii="Calibri" w:cs="Calibri" w:eastAsia="Calibri" w:hAnsi="Calibri"/>
                <w:sz w:val="19"/>
                <w:szCs w:val="19"/>
              </w:rPr>
              <w:t xml:space="preserve">M6 — Recoverability model</w:t>
            </w:r>
          </w:p>
        </w:tc>
        <w:tc>
          <w:tcPr>
            <w:tcW w:type="dxa" w:w="5880"/>
            <w:tcMar>
              <w:top w:type="dxa" w:w="70"/>
              <w:left w:type="dxa" w:w="100"/>
              <w:bottom w:type="dxa" w:w="70"/>
              <w:right w:type="dxa" w:w="100"/>
            </w:tcMar>
          </w:tcPr>
          <w:p>
            <w:pPr>
              <w:spacing w:after="30" w:before="30" w:line="232"/>
            </w:pPr>
            <w:r>
              <w:rPr>
                <w:rFonts w:ascii="Calibri" w:cs="Calibri" w:eastAsia="Calibri" w:hAnsi="Calibri"/>
                <w:sz w:val="19"/>
                <w:szCs w:val="19"/>
              </w:rPr>
              <w:t xml:space="preserve">Ranking under capacity constraint, evaluated against three baselines.</w:t>
            </w:r>
          </w:p>
        </w:tc>
        <w:tc>
          <w:tcPr>
            <w:tcW w:type="dxa" w:w="1400"/>
            <w:tcMar>
              <w:top w:type="dxa" w:w="70"/>
              <w:left w:type="dxa" w:w="100"/>
              <w:bottom w:type="dxa" w:w="70"/>
              <w:right w:type="dxa" w:w="100"/>
            </w:tcMar>
          </w:tcPr>
          <w:p>
            <w:pPr>
              <w:spacing w:after="30" w:before="30" w:line="232"/>
            </w:pPr>
            <w:r>
              <w:rPr>
                <w:rFonts w:ascii="Calibri" w:cs="Calibri" w:eastAsia="Calibri" w:hAnsi="Calibri"/>
                <w:sz w:val="19"/>
                <w:szCs w:val="19"/>
              </w:rPr>
              <w:t xml:space="preserve">Planned</w:t>
            </w:r>
          </w:p>
        </w:tc>
      </w:tr>
      <w:tr>
        <w:trPr>
          <w:cantSplit/>
          <w:tblHeader w:val="false"/>
        </w:trPr>
        <w:tc>
          <w:tcPr>
            <w:tcW w:type="dxa" w:w="280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M7 — Free-text extraction</w:t>
            </w:r>
          </w:p>
        </w:tc>
        <w:tc>
          <w:tcPr>
            <w:tcW w:type="dxa" w:w="588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Model-backed intake behind the M3 interface, with abstention and injection cases.</w:t>
            </w:r>
          </w:p>
        </w:tc>
        <w:tc>
          <w:tcPr>
            <w:tcW w:type="dxa" w:w="140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Optional</w:t>
            </w:r>
          </w:p>
        </w:tc>
      </w:tr>
      <w:tr>
        <w:trPr>
          <w:cantSplit/>
          <w:tblHeader w:val="false"/>
        </w:trPr>
        <w:tc>
          <w:tcPr>
            <w:tcW w:type="dxa" w:w="2800"/>
            <w:tcMar>
              <w:top w:type="dxa" w:w="70"/>
              <w:left w:type="dxa" w:w="100"/>
              <w:bottom w:type="dxa" w:w="70"/>
              <w:right w:type="dxa" w:w="100"/>
            </w:tcMar>
          </w:tcPr>
          <w:p>
            <w:pPr>
              <w:spacing w:after="30" w:before="30" w:line="232"/>
            </w:pPr>
            <w:r>
              <w:rPr>
                <w:rFonts w:ascii="Calibri" w:cs="Calibri" w:eastAsia="Calibri" w:hAnsi="Calibri"/>
                <w:sz w:val="19"/>
                <w:szCs w:val="19"/>
              </w:rPr>
              <w:t xml:space="preserve">M8 — Operations console</w:t>
            </w:r>
          </w:p>
        </w:tc>
        <w:tc>
          <w:tcPr>
            <w:tcW w:type="dxa" w:w="5880"/>
            <w:tcMar>
              <w:top w:type="dxa" w:w="70"/>
              <w:left w:type="dxa" w:w="100"/>
              <w:bottom w:type="dxa" w:w="70"/>
              <w:right w:type="dxa" w:w="100"/>
            </w:tcMar>
          </w:tcPr>
          <w:p>
            <w:pPr>
              <w:spacing w:after="30" w:before="30" w:line="232"/>
            </w:pPr>
            <w:r>
              <w:rPr>
                <w:rFonts w:ascii="Calibri" w:cs="Calibri" w:eastAsia="Calibri" w:hAnsi="Calibri"/>
                <w:sz w:val="19"/>
                <w:szCs w:val="19"/>
              </w:rPr>
              <w:t xml:space="preserve">The queue, the clock, disposition capture, evidence export.</w:t>
            </w:r>
          </w:p>
        </w:tc>
        <w:tc>
          <w:tcPr>
            <w:tcW w:type="dxa" w:w="1400"/>
            <w:tcMar>
              <w:top w:type="dxa" w:w="70"/>
              <w:left w:type="dxa" w:w="100"/>
              <w:bottom w:type="dxa" w:w="70"/>
              <w:right w:type="dxa" w:w="100"/>
            </w:tcMar>
          </w:tcPr>
          <w:p>
            <w:pPr>
              <w:spacing w:after="30" w:before="30" w:line="232"/>
            </w:pPr>
            <w:r>
              <w:rPr>
                <w:rFonts w:ascii="Calibri" w:cs="Calibri" w:eastAsia="Calibri" w:hAnsi="Calibri"/>
                <w:sz w:val="19"/>
                <w:szCs w:val="19"/>
              </w:rPr>
              <w:t xml:space="preserve">Planned</w:t>
            </w:r>
          </w:p>
        </w:tc>
      </w:tr>
      <w:tr>
        <w:trPr>
          <w:cantSplit/>
          <w:tblHeader w:val="false"/>
        </w:trPr>
        <w:tc>
          <w:tcPr>
            <w:tcW w:type="dxa" w:w="280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M9 — Network mode</w:t>
            </w:r>
          </w:p>
        </w:tc>
        <w:tc>
          <w:tcPr>
            <w:tcW w:type="dxa" w:w="588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Two instances exchanging cases machine-to-machine.</w:t>
            </w:r>
          </w:p>
        </w:tc>
        <w:tc>
          <w:tcPr>
            <w:tcW w:type="dxa" w:w="140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Optional</w:t>
            </w:r>
          </w:p>
        </w:tc>
      </w:tr>
      <w:tr>
        <w:trPr>
          <w:cantSplit/>
          <w:tblHeader w:val="false"/>
        </w:trPr>
        <w:tc>
          <w:tcPr>
            <w:tcW w:type="dxa" w:w="2800"/>
            <w:tcMar>
              <w:top w:type="dxa" w:w="70"/>
              <w:left w:type="dxa" w:w="100"/>
              <w:bottom w:type="dxa" w:w="70"/>
              <w:right w:type="dxa" w:w="100"/>
            </w:tcMar>
          </w:tcPr>
          <w:p>
            <w:pPr>
              <w:spacing w:after="30" w:before="30" w:line="232"/>
            </w:pPr>
            <w:r>
              <w:rPr>
                <w:rFonts w:ascii="Calibri" w:cs="Calibri" w:eastAsia="Calibri" w:hAnsi="Calibri"/>
                <w:sz w:val="19"/>
                <w:szCs w:val="19"/>
              </w:rPr>
              <w:t xml:space="preserve">M10 — Deploy</w:t>
            </w:r>
          </w:p>
        </w:tc>
        <w:tc>
          <w:tcPr>
            <w:tcW w:type="dxa" w:w="5880"/>
            <w:tcMar>
              <w:top w:type="dxa" w:w="70"/>
              <w:left w:type="dxa" w:w="100"/>
              <w:bottom w:type="dxa" w:w="70"/>
              <w:right w:type="dxa" w:w="100"/>
            </w:tcMar>
          </w:tcPr>
          <w:p>
            <w:pPr>
              <w:spacing w:after="30" w:before="30" w:line="232"/>
            </w:pPr>
            <w:r>
              <w:rPr>
                <w:rFonts w:ascii="Calibri" w:cs="Calibri" w:eastAsia="Calibri" w:hAnsi="Calibri"/>
                <w:sz w:val="19"/>
                <w:szCs w:val="19"/>
              </w:rPr>
              <w:t xml:space="preserve">Public demo instance, hardening, reproducible from a seed.</w:t>
            </w:r>
          </w:p>
        </w:tc>
        <w:tc>
          <w:tcPr>
            <w:tcW w:type="dxa" w:w="1400"/>
            <w:tcMar>
              <w:top w:type="dxa" w:w="70"/>
              <w:left w:type="dxa" w:w="100"/>
              <w:bottom w:type="dxa" w:w="70"/>
              <w:right w:type="dxa" w:w="100"/>
            </w:tcMar>
          </w:tcPr>
          <w:p>
            <w:pPr>
              <w:spacing w:after="30" w:before="30" w:line="232"/>
            </w:pPr>
            <w:r>
              <w:rPr>
                <w:rFonts w:ascii="Calibri" w:cs="Calibri" w:eastAsia="Calibri" w:hAnsi="Calibri"/>
                <w:sz w:val="19"/>
                <w:szCs w:val="19"/>
              </w:rPr>
              <w:t xml:space="preserve">Planned</w:t>
            </w:r>
          </w:p>
        </w:tc>
      </w:tr>
    </w:tbl>
    <w:p>
      <w:pPr>
        <w:spacing w:after="100"/>
      </w:pPr>
    </w:p>
    <w:p>
      <w:pPr>
        <w:spacing w:after="120" w:line="264"/>
        <w:jc w:val="both"/>
      </w:pPr>
      <w:r>
        <w:rPr>
          <w:rFonts w:ascii="Calibri" w:cs="Calibri" w:eastAsia="Calibri" w:hAnsi="Calibri"/>
          <w:i/>
          <w:iCs/>
          <w:sz w:val="21"/>
          <w:szCs w:val="21"/>
        </w:rPr>
        <w:t xml:space="preserve">M3, M4, M5 and M8 are the product; a demonstration missing any one of them does not hold together. M6 is what makes this an applied machine-learning project rather than a workflow tool. M7 and M9 are genuinely optional and should be cut first if time is short, rather than half-built.</w:t>
      </w:r>
    </w:p>
    <w:p>
      <w:pPr>
        <w:keepNext/>
        <w:keepLines/>
        <w:spacing w:after="80" w:before="180" w:line="270"/>
        <w:outlineLvl w:val="2"/>
      </w:pPr>
      <w:r>
        <w:rPr>
          <w:rFonts w:ascii="Calibri" w:cs="Calibri" w:eastAsia="Calibri" w:hAnsi="Calibri"/>
          <w:b/>
          <w:bCs/>
          <w:color w:val="1F4D78"/>
          <w:sz w:val="22"/>
          <w:szCs w:val="22"/>
        </w:rPr>
        <w:t xml:space="preserve">Verified at M3</w:t>
      </w:r>
    </w:p>
    <w:p>
      <w:pPr>
        <w:pStyle w:val="ListParagraph"/>
        <w:numPr>
          <w:ilvl w:val="0"/>
          <w:numId w:val="1"/>
        </w:numPr>
        <w:spacing w:after="80" w:line="264"/>
        <w:jc w:val="both"/>
      </w:pPr>
      <w:r>
        <w:rPr>
          <w:rFonts w:ascii="Calibri" w:cs="Calibri" w:eastAsia="Calibri" w:hAnsi="Calibri"/>
          <w:sz w:val="21"/>
          <w:szCs w:val="21"/>
        </w:rPr>
        <w:t xml:space="preserve">Four channels normalise to one case model; all four round-trip byte-identically, and messy real-world variants parse to the same case.</w:t>
      </w:r>
    </w:p>
    <w:p>
      <w:pPr>
        <w:pStyle w:val="ListParagraph"/>
        <w:numPr>
          <w:ilvl w:val="0"/>
          <w:numId w:val="1"/>
        </w:numPr>
        <w:spacing w:after="80" w:line="264"/>
        <w:jc w:val="both"/>
      </w:pPr>
      <w:r>
        <w:rPr>
          <w:rFonts w:ascii="Calibri" w:cs="Calibri" w:eastAsia="Calibri" w:hAnsi="Calibri"/>
          <w:sz w:val="21"/>
          <w:szCs w:val="21"/>
        </w:rPr>
        <w:t xml:space="preserve">Every rail rule carries a source URL and a confidence level; the accessor raises rather than returning an unverified number.</w:t>
      </w:r>
    </w:p>
    <w:p>
      <w:pPr>
        <w:pStyle w:val="ListParagraph"/>
        <w:numPr>
          <w:ilvl w:val="0"/>
          <w:numId w:val="1"/>
        </w:numPr>
        <w:spacing w:after="80" w:line="264"/>
        <w:jc w:val="both"/>
      </w:pPr>
      <w:r>
        <w:rPr>
          <w:rFonts w:ascii="Calibri" w:cs="Calibri" w:eastAsia="Calibri" w:hAnsi="Calibri"/>
          <w:sz w:val="21"/>
          <w:szCs w:val="21"/>
        </w:rPr>
        <w:t xml:space="preserve">A static check enforces that no deadline is written anywhere outside the capability matrix. On its first run it found a real one.</w:t>
      </w:r>
    </w:p>
    <w:p>
      <w:pPr>
        <w:pStyle w:val="ListParagraph"/>
        <w:numPr>
          <w:ilvl w:val="0"/>
          <w:numId w:val="1"/>
        </w:numPr>
        <w:spacing w:after="80" w:line="264"/>
        <w:jc w:val="both"/>
      </w:pPr>
      <w:r>
        <w:rPr>
          <w:rFonts w:ascii="Calibri" w:cs="Calibri" w:eastAsia="Calibri" w:hAnsi="Calibri"/>
          <w:sz w:val="21"/>
          <w:szCs w:val="21"/>
        </w:rPr>
        <w:t xml:space="preserve">Free-text extraction cannot produce a filed case without an identified operator, asserted by test.</w:t>
      </w:r>
    </w:p>
    <w:p>
      <w:pPr>
        <w:pStyle w:val="ListParagraph"/>
        <w:numPr>
          <w:ilvl w:val="0"/>
          <w:numId w:val="1"/>
        </w:numPr>
        <w:spacing w:after="80" w:line="264"/>
        <w:jc w:val="both"/>
      </w:pPr>
      <w:r>
        <w:rPr>
          <w:rFonts w:ascii="Calibri" w:cs="Calibri" w:eastAsia="Calibri" w:hAnsi="Calibri"/>
          <w:sz w:val="21"/>
          <w:szCs w:val="21"/>
        </w:rPr>
        <w:t xml:space="preserve">213 tests passing, 91% coverage, lint and format gates clean.</w:t>
      </w:r>
    </w:p>
    <w:p>
      <w:pPr>
        <w:keepNext/>
        <w:keepLines/>
        <w:spacing w:after="120" w:before="260" w:line="300"/>
        <w:outlineLvl w:val="0"/>
      </w:pPr>
      <w:bookmarkStart w:name="s15" w:id="1"/>
      <w:r>
        <w:rPr>
          <w:rFonts w:ascii="Calibri" w:cs="Calibri" w:eastAsia="Calibri" w:hAnsi="Calibri"/>
          <w:b/>
          <w:bCs/>
          <w:color w:val="1F3A5F"/>
          <w:sz w:val="28"/>
          <w:szCs w:val="28"/>
        </w:rPr>
        <w:t xml:space="preserve">15. Open Questions</w:t>
      </w:r>
      <w:bookmarkEnd w:id="1"/>
    </w:p>
    <w:tbl>
      <w:tblPr>
        <w:tblW w:type="dxa" w:w="10080"/>
        <w:tblBorders>
          <w:top w:val="single" w:color="BBBBBB" w:sz="3"/>
          <w:left w:val="single" w:color="BBBBBB" w:sz="3"/>
          <w:bottom w:val="single" w:color="BBBBBB" w:sz="3"/>
          <w:right w:val="single" w:color="BBBBBB" w:sz="3"/>
          <w:insideH w:val="single" w:color="BBBBBB" w:sz="3"/>
          <w:insideV w:val="single" w:color="BBBBBB" w:sz="3"/>
        </w:tblBorders>
      </w:tblPr>
      <w:tblGrid>
        <w:gridCol w:w="3600"/>
        <w:gridCol w:w="4880"/>
        <w:gridCol w:w="1600"/>
      </w:tblGrid>
      <w:tr>
        <w:trPr>
          <w:cantSplit/>
          <w:tblHeader/>
        </w:trPr>
        <w:tc>
          <w:tcPr>
            <w:tcW w:type="dxa" w:w="3600"/>
            <w:shd w:fill="1F3A5F" w:color="auto" w:val="clear"/>
            <w:tcMar>
              <w:top w:type="dxa" w:w="70"/>
              <w:left w:type="dxa" w:w="100"/>
              <w:bottom w:type="dxa" w:w="70"/>
              <w:right w:type="dxa" w:w="100"/>
            </w:tcMar>
          </w:tcPr>
          <w:p>
            <w:pPr>
              <w:spacing w:after="30" w:before="30" w:line="232"/>
            </w:pPr>
            <w:r>
              <w:rPr>
                <w:rFonts w:ascii="Calibri" w:cs="Calibri" w:eastAsia="Calibri" w:hAnsi="Calibri"/>
                <w:b/>
                <w:bCs/>
                <w:color w:val="FFFFFF"/>
                <w:sz w:val="19"/>
                <w:szCs w:val="19"/>
              </w:rPr>
              <w:t xml:space="preserve">Question</w:t>
            </w:r>
          </w:p>
        </w:tc>
        <w:tc>
          <w:tcPr>
            <w:tcW w:type="dxa" w:w="4880"/>
            <w:shd w:fill="1F3A5F" w:color="auto" w:val="clear"/>
            <w:tcMar>
              <w:top w:type="dxa" w:w="70"/>
              <w:left w:type="dxa" w:w="100"/>
              <w:bottom w:type="dxa" w:w="70"/>
              <w:right w:type="dxa" w:w="100"/>
            </w:tcMar>
          </w:tcPr>
          <w:p>
            <w:pPr>
              <w:spacing w:after="30" w:before="30" w:line="232"/>
            </w:pPr>
            <w:r>
              <w:rPr>
                <w:rFonts w:ascii="Calibri" w:cs="Calibri" w:eastAsia="Calibri" w:hAnsi="Calibri"/>
                <w:b/>
                <w:bCs/>
                <w:color w:val="FFFFFF"/>
                <w:sz w:val="19"/>
                <w:szCs w:val="19"/>
              </w:rPr>
              <w:t xml:space="preserve">Why it is open</w:t>
            </w:r>
          </w:p>
        </w:tc>
        <w:tc>
          <w:tcPr>
            <w:tcW w:type="dxa" w:w="1600"/>
            <w:shd w:fill="1F3A5F" w:color="auto" w:val="clear"/>
            <w:tcMar>
              <w:top w:type="dxa" w:w="70"/>
              <w:left w:type="dxa" w:w="100"/>
              <w:bottom w:type="dxa" w:w="70"/>
              <w:right w:type="dxa" w:w="100"/>
            </w:tcMar>
          </w:tcPr>
          <w:p>
            <w:pPr>
              <w:spacing w:after="30" w:before="30" w:line="232"/>
            </w:pPr>
            <w:r>
              <w:rPr>
                <w:rFonts w:ascii="Calibri" w:cs="Calibri" w:eastAsia="Calibri" w:hAnsi="Calibri"/>
                <w:b/>
                <w:bCs/>
                <w:color w:val="FFFFFF"/>
                <w:sz w:val="19"/>
                <w:szCs w:val="19"/>
              </w:rPr>
              <w:t xml:space="preserve">Who decides</w:t>
            </w:r>
          </w:p>
        </w:tc>
      </w:tr>
      <w:tr>
        <w:trPr>
          <w:cantSplit/>
          <w:tblHeader w:val="false"/>
        </w:trPr>
        <w:tc>
          <w:tcPr>
            <w:tcW w:type="dxa" w:w="3600"/>
            <w:tcMar>
              <w:top w:type="dxa" w:w="70"/>
              <w:left w:type="dxa" w:w="100"/>
              <w:bottom w:type="dxa" w:w="70"/>
              <w:right w:type="dxa" w:w="100"/>
            </w:tcMar>
          </w:tcPr>
          <w:p>
            <w:pPr>
              <w:spacing w:after="30" w:before="30" w:line="232"/>
            </w:pPr>
            <w:r>
              <w:rPr>
                <w:rFonts w:ascii="Calibri" w:cs="Calibri" w:eastAsia="Calibri" w:hAnsi="Calibri"/>
                <w:sz w:val="19"/>
                <w:szCs w:val="19"/>
              </w:rPr>
              <w:t xml:space="preserve">Should the unretrievable primary sources be pursued?</w:t>
            </w:r>
          </w:p>
        </w:tc>
        <w:tc>
          <w:tcPr>
            <w:tcW w:type="dxa" w:w="4880"/>
            <w:tcMar>
              <w:top w:type="dxa" w:w="70"/>
              <w:left w:type="dxa" w:w="100"/>
              <w:bottom w:type="dxa" w:w="70"/>
              <w:right w:type="dxa" w:w="100"/>
            </w:tcMar>
          </w:tcPr>
          <w:p>
            <w:pPr>
              <w:spacing w:after="30" w:before="30" w:line="232"/>
            </w:pPr>
            <w:r>
              <w:rPr>
                <w:rFonts w:ascii="Calibri" w:cs="Calibri" w:eastAsia="Calibri" w:hAnsi="Calibri"/>
                <w:sz w:val="19"/>
                <w:szCs w:val="19"/>
              </w:rPr>
              <w:t xml:space="preserve">Four claims rest on secondary sources. Shipping with visible flags is defensible; silently guessing is not.</w:t>
            </w:r>
          </w:p>
        </w:tc>
        <w:tc>
          <w:tcPr>
            <w:tcW w:type="dxa" w:w="1600"/>
            <w:tcMar>
              <w:top w:type="dxa" w:w="70"/>
              <w:left w:type="dxa" w:w="100"/>
              <w:bottom w:type="dxa" w:w="70"/>
              <w:right w:type="dxa" w:w="100"/>
            </w:tcMar>
          </w:tcPr>
          <w:p>
            <w:pPr>
              <w:spacing w:after="30" w:before="30" w:line="232"/>
            </w:pPr>
            <w:r>
              <w:rPr>
                <w:rFonts w:ascii="Calibri" w:cs="Calibri" w:eastAsia="Calibri" w:hAnsi="Calibri"/>
                <w:sz w:val="19"/>
                <w:szCs w:val="19"/>
              </w:rPr>
              <w:t xml:space="preserve">Product, with counsel</w:t>
            </w:r>
          </w:p>
        </w:tc>
      </w:tr>
      <w:tr>
        <w:trPr>
          <w:cantSplit/>
          <w:tblHeader w:val="false"/>
        </w:trPr>
        <w:tc>
          <w:tcPr>
            <w:tcW w:type="dxa" w:w="360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Is a UK-derived decay curve acceptable for a US product?</w:t>
            </w:r>
          </w:p>
        </w:tc>
        <w:tc>
          <w:tcPr>
            <w:tcW w:type="dxa" w:w="488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No US time-to-dissipation dataset was found. Inventing one would be worse than labelling the gap.</w:t>
            </w:r>
          </w:p>
        </w:tc>
        <w:tc>
          <w:tcPr>
            <w:tcW w:type="dxa" w:w="160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Product</w:t>
            </w:r>
          </w:p>
        </w:tc>
      </w:tr>
      <w:tr>
        <w:trPr>
          <w:cantSplit/>
          <w:tblHeader w:val="false"/>
        </w:trPr>
        <w:tc>
          <w:tcPr>
            <w:tcW w:type="dxa" w:w="3600"/>
            <w:tcMar>
              <w:top w:type="dxa" w:w="70"/>
              <w:left w:type="dxa" w:w="100"/>
              <w:bottom w:type="dxa" w:w="70"/>
              <w:right w:type="dxa" w:w="100"/>
            </w:tcMar>
          </w:tcPr>
          <w:p>
            <w:pPr>
              <w:spacing w:after="30" w:before="30" w:line="232"/>
            </w:pPr>
            <w:r>
              <w:rPr>
                <w:rFonts w:ascii="Calibri" w:cs="Calibri" w:eastAsia="Calibri" w:hAnsi="Calibri"/>
                <w:sz w:val="19"/>
                <w:szCs w:val="19"/>
              </w:rPr>
              <w:t xml:space="preserve">What is the correct house-policy deadline?</w:t>
            </w:r>
          </w:p>
        </w:tc>
        <w:tc>
          <w:tcPr>
            <w:tcW w:type="dxa" w:w="4880"/>
            <w:tcMar>
              <w:top w:type="dxa" w:w="70"/>
              <w:left w:type="dxa" w:w="100"/>
              <w:bottom w:type="dxa" w:w="70"/>
              <w:right w:type="dxa" w:w="100"/>
            </w:tcMar>
          </w:tcPr>
          <w:p>
            <w:pPr>
              <w:spacing w:after="30" w:before="30" w:line="232"/>
            </w:pPr>
            <w:r>
              <w:rPr>
                <w:rFonts w:ascii="Calibri" w:cs="Calibri" w:eastAsia="Calibri" w:hAnsi="Calibri"/>
                <w:sz w:val="19"/>
                <w:szCs w:val="19"/>
              </w:rPr>
              <w:t xml:space="preserve">Twenty-four hours has a rationale, not an authority.</w:t>
            </w:r>
          </w:p>
        </w:tc>
        <w:tc>
          <w:tcPr>
            <w:tcW w:type="dxa" w:w="1600"/>
            <w:tcMar>
              <w:top w:type="dxa" w:w="70"/>
              <w:left w:type="dxa" w:w="100"/>
              <w:bottom w:type="dxa" w:w="70"/>
              <w:right w:type="dxa" w:w="100"/>
            </w:tcMar>
          </w:tcPr>
          <w:p>
            <w:pPr>
              <w:spacing w:after="30" w:before="30" w:line="232"/>
            </w:pPr>
            <w:r>
              <w:rPr>
                <w:rFonts w:ascii="Calibri" w:cs="Calibri" w:eastAsia="Calibri" w:hAnsi="Calibri"/>
                <w:sz w:val="19"/>
                <w:szCs w:val="19"/>
              </w:rPr>
              <w:t xml:space="preserve">Fraud operations</w:t>
            </w:r>
          </w:p>
        </w:tc>
      </w:tr>
      <w:tr>
        <w:trPr>
          <w:cantSplit/>
          <w:tblHeader w:val="false"/>
        </w:trPr>
        <w:tc>
          <w:tcPr>
            <w:tcW w:type="dxa" w:w="360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Should the evidence export target a standard format?</w:t>
            </w:r>
          </w:p>
        </w:tc>
        <w:tc>
          <w:tcPr>
            <w:tcW w:type="dxa" w:w="488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No standard artifact for proving the Nacha obligation appears to exist.</w:t>
            </w:r>
          </w:p>
        </w:tc>
        <w:tc>
          <w:tcPr>
            <w:tcW w:type="dxa" w:w="160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Compliance</w:t>
            </w:r>
          </w:p>
        </w:tc>
      </w:tr>
      <w:tr>
        <w:trPr>
          <w:cantSplit/>
          <w:tblHeader w:val="false"/>
        </w:trPr>
        <w:tc>
          <w:tcPr>
            <w:tcW w:type="dxa" w:w="3600"/>
            <w:tcMar>
              <w:top w:type="dxa" w:w="70"/>
              <w:left w:type="dxa" w:w="100"/>
              <w:bottom w:type="dxa" w:w="70"/>
              <w:right w:type="dxa" w:w="100"/>
            </w:tcMar>
          </w:tcPr>
          <w:p>
            <w:pPr>
              <w:spacing w:after="30" w:before="30" w:line="232"/>
            </w:pPr>
            <w:r>
              <w:rPr>
                <w:rFonts w:ascii="Calibri" w:cs="Calibri" w:eastAsia="Calibri" w:hAnsi="Calibri"/>
                <w:sz w:val="19"/>
                <w:szCs w:val="19"/>
              </w:rPr>
              <w:t xml:space="preserve">Local business timezone for end-of-day deadlines?</w:t>
            </w:r>
          </w:p>
        </w:tc>
        <w:tc>
          <w:tcPr>
            <w:tcW w:type="dxa" w:w="4880"/>
            <w:tcMar>
              <w:top w:type="dxa" w:w="70"/>
              <w:left w:type="dxa" w:w="100"/>
              <w:bottom w:type="dxa" w:w="70"/>
              <w:right w:type="dxa" w:w="100"/>
            </w:tcMar>
          </w:tcPr>
          <w:p>
            <w:pPr>
              <w:spacing w:after="30" w:before="30" w:line="232"/>
            </w:pPr>
            <w:r>
              <w:rPr>
                <w:rFonts w:ascii="Calibri" w:cs="Calibri" w:eastAsia="Calibri" w:hAnsi="Calibri"/>
                <w:sz w:val="19"/>
                <w:szCs w:val="19"/>
              </w:rPr>
              <w:t xml:space="preserve">UTC is a simplification worth several hours on a real deadline.</w:t>
            </w:r>
          </w:p>
        </w:tc>
        <w:tc>
          <w:tcPr>
            <w:tcW w:type="dxa" w:w="1600"/>
            <w:tcMar>
              <w:top w:type="dxa" w:w="70"/>
              <w:left w:type="dxa" w:w="100"/>
              <w:bottom w:type="dxa" w:w="70"/>
              <w:right w:type="dxa" w:w="100"/>
            </w:tcMar>
          </w:tcPr>
          <w:p>
            <w:pPr>
              <w:spacing w:after="30" w:before="30" w:line="232"/>
            </w:pPr>
            <w:r>
              <w:rPr>
                <w:rFonts w:ascii="Calibri" w:cs="Calibri" w:eastAsia="Calibri" w:hAnsi="Calibri"/>
                <w:sz w:val="19"/>
                <w:szCs w:val="19"/>
              </w:rPr>
              <w:t xml:space="preserve">Engineering, before any pilot</w:t>
            </w:r>
          </w:p>
        </w:tc>
      </w:tr>
      <w:tr>
        <w:trPr>
          <w:cantSplit/>
          <w:tblHeader w:val="false"/>
        </w:trPr>
        <w:tc>
          <w:tcPr>
            <w:tcW w:type="dxa" w:w="360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Does network mode ever justify its cost?</w:t>
            </w:r>
          </w:p>
        </w:tc>
        <w:tc>
          <w:tcPr>
            <w:tcW w:type="dxa" w:w="488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It is the v1.1 vision reached by a route that does not require it. It may never be worth building.</w:t>
            </w:r>
          </w:p>
        </w:tc>
        <w:tc>
          <w:tcPr>
            <w:tcW w:type="dxa" w:w="160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Product</w:t>
            </w:r>
          </w:p>
        </w:tc>
      </w:tr>
    </w:tbl>
    <w:p>
      <w:pPr>
        <w:spacing w:after="100"/>
      </w:pPr>
    </w:p>
    <w:p>
      <w:pPr>
        <w:keepNext/>
        <w:keepLines/>
        <w:spacing w:after="120" w:before="260" w:line="300"/>
        <w:outlineLvl w:val="0"/>
      </w:pPr>
      <w:bookmarkStart w:name="sa" w:id="1"/>
      <w:r>
        <w:rPr>
          <w:rFonts w:ascii="Calibri" w:cs="Calibri" w:eastAsia="Calibri" w:hAnsi="Calibri"/>
          <w:b/>
          <w:bCs/>
          <w:color w:val="1F3A5F"/>
          <w:sz w:val="28"/>
          <w:szCs w:val="28"/>
        </w:rPr>
        <w:t xml:space="preserve">Appendix A — Rail Capability Matrix</w:t>
      </w:r>
      <w:bookmarkEnd w:id="1"/>
    </w:p>
    <w:p>
      <w:pPr>
        <w:spacing w:after="120" w:line="264"/>
        <w:jc w:val="both"/>
      </w:pPr>
      <w:r>
        <w:rPr>
          <w:rFonts w:ascii="Calibri" w:cs="Calibri" w:eastAsia="Calibri" w:hAnsi="Calibri"/>
          <w:sz w:val="21"/>
          <w:szCs w:val="21"/>
        </w:rPr>
        <w:t xml:space="preserve">Generated from the single source of truth in the codebase. Every entry carries its source and a confidence level; the documentation is regenerated from the code and a test fails if the two drift apart.</w:t>
      </w:r>
    </w:p>
    <w:tbl>
      <w:tblPr>
        <w:tblW w:type="dxa" w:w="10080"/>
        <w:tblBorders>
          <w:top w:val="single" w:color="BBBBBB" w:sz="3"/>
          <w:left w:val="single" w:color="BBBBBB" w:sz="3"/>
          <w:bottom w:val="single" w:color="BBBBBB" w:sz="3"/>
          <w:right w:val="single" w:color="BBBBBB" w:sz="3"/>
          <w:insideH w:val="single" w:color="BBBBBB" w:sz="3"/>
          <w:insideV w:val="single" w:color="BBBBBB" w:sz="3"/>
        </w:tblBorders>
      </w:tblPr>
      <w:tblGrid>
        <w:gridCol w:w="1160"/>
        <w:gridCol w:w="2960"/>
        <w:gridCol w:w="1760"/>
        <w:gridCol w:w="2640"/>
        <w:gridCol w:w="1560"/>
      </w:tblGrid>
      <w:tr>
        <w:trPr>
          <w:cantSplit/>
          <w:tblHeader/>
        </w:trPr>
        <w:tc>
          <w:tcPr>
            <w:tcW w:type="dxa" w:w="1160"/>
            <w:shd w:fill="1F3A5F" w:color="auto" w:val="clear"/>
            <w:tcMar>
              <w:top w:type="dxa" w:w="70"/>
              <w:left w:type="dxa" w:w="100"/>
              <w:bottom w:type="dxa" w:w="70"/>
              <w:right w:type="dxa" w:w="100"/>
            </w:tcMar>
          </w:tcPr>
          <w:p>
            <w:pPr>
              <w:spacing w:after="30" w:before="30" w:line="232"/>
            </w:pPr>
            <w:r>
              <w:rPr>
                <w:rFonts w:ascii="Calibri" w:cs="Calibri" w:eastAsia="Calibri" w:hAnsi="Calibri"/>
                <w:b/>
                <w:bCs/>
                <w:color w:val="FFFFFF"/>
                <w:sz w:val="19"/>
                <w:szCs w:val="19"/>
              </w:rPr>
              <w:t xml:space="preserve">Rail</w:t>
            </w:r>
          </w:p>
        </w:tc>
        <w:tc>
          <w:tcPr>
            <w:tcW w:type="dxa" w:w="2960"/>
            <w:shd w:fill="1F3A5F" w:color="auto" w:val="clear"/>
            <w:tcMar>
              <w:top w:type="dxa" w:w="70"/>
              <w:left w:type="dxa" w:w="100"/>
              <w:bottom w:type="dxa" w:w="70"/>
              <w:right w:type="dxa" w:w="100"/>
            </w:tcMar>
          </w:tcPr>
          <w:p>
            <w:pPr>
              <w:spacing w:after="30" w:before="30" w:line="232"/>
            </w:pPr>
            <w:r>
              <w:rPr>
                <w:rFonts w:ascii="Calibri" w:cs="Calibri" w:eastAsia="Calibri" w:hAnsi="Calibri"/>
                <w:b/>
                <w:bCs/>
                <w:color w:val="FFFFFF"/>
                <w:sz w:val="19"/>
                <w:szCs w:val="19"/>
              </w:rPr>
              <w:t xml:space="preserve">Disposition format</w:t>
            </w:r>
          </w:p>
        </w:tc>
        <w:tc>
          <w:tcPr>
            <w:tcW w:type="dxa" w:w="1760"/>
            <w:shd w:fill="1F3A5F" w:color="auto" w:val="clear"/>
            <w:tcMar>
              <w:top w:type="dxa" w:w="70"/>
              <w:left w:type="dxa" w:w="100"/>
              <w:bottom w:type="dxa" w:w="70"/>
              <w:right w:type="dxa" w:w="100"/>
            </w:tcMar>
          </w:tcPr>
          <w:p>
            <w:pPr>
              <w:spacing w:after="30" w:before="30" w:line="232"/>
            </w:pPr>
            <w:r>
              <w:rPr>
                <w:rFonts w:ascii="Calibri" w:cs="Calibri" w:eastAsia="Calibri" w:hAnsi="Calibri"/>
                <w:b/>
                <w:bCs/>
                <w:color w:val="FFFFFF"/>
                <w:sz w:val="19"/>
                <w:szCs w:val="19"/>
              </w:rPr>
              <w:t xml:space="preserve">Obligation</w:t>
            </w:r>
          </w:p>
        </w:tc>
        <w:tc>
          <w:tcPr>
            <w:tcW w:type="dxa" w:w="2640"/>
            <w:shd w:fill="1F3A5F" w:color="auto" w:val="clear"/>
            <w:tcMar>
              <w:top w:type="dxa" w:w="70"/>
              <w:left w:type="dxa" w:w="100"/>
              <w:bottom w:type="dxa" w:w="70"/>
              <w:right w:type="dxa" w:w="100"/>
            </w:tcMar>
          </w:tcPr>
          <w:p>
            <w:pPr>
              <w:spacing w:after="30" w:before="30" w:line="232"/>
            </w:pPr>
            <w:r>
              <w:rPr>
                <w:rFonts w:ascii="Calibri" w:cs="Calibri" w:eastAsia="Calibri" w:hAnsi="Calibri"/>
                <w:b/>
                <w:bCs/>
                <w:color w:val="FFFFFF"/>
                <w:sz w:val="19"/>
                <w:szCs w:val="19"/>
              </w:rPr>
              <w:t xml:space="preserve">Window</w:t>
            </w:r>
          </w:p>
        </w:tc>
        <w:tc>
          <w:tcPr>
            <w:tcW w:type="dxa" w:w="1560"/>
            <w:shd w:fill="1F3A5F" w:color="auto" w:val="clear"/>
            <w:tcMar>
              <w:top w:type="dxa" w:w="70"/>
              <w:left w:type="dxa" w:w="100"/>
              <w:bottom w:type="dxa" w:w="70"/>
              <w:right w:type="dxa" w:w="100"/>
            </w:tcMar>
          </w:tcPr>
          <w:p>
            <w:pPr>
              <w:spacing w:after="30" w:before="30" w:line="232"/>
            </w:pPr>
            <w:r>
              <w:rPr>
                <w:rFonts w:ascii="Calibri" w:cs="Calibri" w:eastAsia="Calibri" w:hAnsi="Calibri"/>
                <w:b/>
                <w:bCs/>
                <w:color w:val="FFFFFF"/>
                <w:sz w:val="19"/>
                <w:szCs w:val="19"/>
              </w:rPr>
              <w:t xml:space="preserve">Confidence</w:t>
            </w:r>
          </w:p>
        </w:tc>
      </w:tr>
      <w:tr>
        <w:trPr>
          <w:cantSplit/>
          <w:tblHeader w:val="false"/>
        </w:trPr>
        <w:tc>
          <w:tcPr>
            <w:tcW w:type="dxa" w:w="1160"/>
            <w:tcMar>
              <w:top w:type="dxa" w:w="70"/>
              <w:left w:type="dxa" w:w="100"/>
              <w:bottom w:type="dxa" w:w="70"/>
              <w:right w:type="dxa" w:w="100"/>
            </w:tcMar>
          </w:tcPr>
          <w:p>
            <w:pPr>
              <w:spacing w:after="30" w:before="30" w:line="232"/>
            </w:pPr>
            <w:r>
              <w:rPr>
                <w:rFonts w:ascii="Calibri" w:cs="Calibri" w:eastAsia="Calibri" w:hAnsi="Calibri"/>
                <w:sz w:val="19"/>
                <w:szCs w:val="19"/>
              </w:rPr>
              <w:t xml:space="preserve">ACH</w:t>
            </w:r>
          </w:p>
        </w:tc>
        <w:tc>
          <w:tcPr>
            <w:tcW w:type="dxa" w:w="2960"/>
            <w:tcMar>
              <w:top w:type="dxa" w:w="70"/>
              <w:left w:type="dxa" w:w="100"/>
              <w:bottom w:type="dxa" w:w="70"/>
              <w:right w:type="dxa" w:w="100"/>
            </w:tcMar>
          </w:tcPr>
          <w:p>
            <w:pPr>
              <w:spacing w:after="30" w:before="30" w:line="232"/>
            </w:pPr>
            <w:r>
              <w:rPr>
                <w:rFonts w:ascii="Calibri" w:cs="Calibri" w:eastAsia="Calibri" w:hAnsi="Calibri"/>
                <w:sz w:val="19"/>
                <w:szCs w:val="19"/>
              </w:rPr>
              <w:t xml:space="preserve">None — method is flexible</w:t>
            </w:r>
          </w:p>
        </w:tc>
        <w:tc>
          <w:tcPr>
            <w:tcW w:type="dxa" w:w="1760"/>
            <w:tcMar>
              <w:top w:type="dxa" w:w="70"/>
              <w:left w:type="dxa" w:w="100"/>
              <w:bottom w:type="dxa" w:w="70"/>
              <w:right w:type="dxa" w:w="100"/>
            </w:tcMar>
          </w:tcPr>
          <w:p>
            <w:pPr>
              <w:spacing w:after="30" w:before="30" w:line="232"/>
            </w:pPr>
            <w:r>
              <w:rPr>
                <w:rFonts w:ascii="Calibri" w:cs="Calibri" w:eastAsia="Calibri" w:hAnsi="Calibri"/>
                <w:sz w:val="19"/>
                <w:szCs w:val="19"/>
              </w:rPr>
              <w:t xml:space="preserve">Mandatory</w:t>
            </w:r>
          </w:p>
        </w:tc>
        <w:tc>
          <w:tcPr>
            <w:tcW w:type="dxa" w:w="2640"/>
            <w:tcMar>
              <w:top w:type="dxa" w:w="70"/>
              <w:left w:type="dxa" w:w="100"/>
              <w:bottom w:type="dxa" w:w="70"/>
              <w:right w:type="dxa" w:w="100"/>
            </w:tcMar>
          </w:tcPr>
          <w:p>
            <w:pPr>
              <w:spacing w:after="30" w:before="30" w:line="232"/>
            </w:pPr>
            <w:r>
              <w:rPr>
                <w:rFonts w:ascii="Calibri" w:cs="Calibri" w:eastAsia="Calibri" w:hAnsi="Calibri"/>
                <w:sz w:val="19"/>
                <w:szCs w:val="19"/>
              </w:rPr>
              <w:t xml:space="preserve">10 banking days</w:t>
            </w:r>
          </w:p>
        </w:tc>
        <w:tc>
          <w:tcPr>
            <w:tcW w:type="dxa" w:w="1560"/>
            <w:tcMar>
              <w:top w:type="dxa" w:w="70"/>
              <w:left w:type="dxa" w:w="100"/>
              <w:bottom w:type="dxa" w:w="70"/>
              <w:right w:type="dxa" w:w="100"/>
            </w:tcMar>
          </w:tcPr>
          <w:p>
            <w:pPr>
              <w:spacing w:after="30" w:before="30" w:line="232"/>
            </w:pPr>
            <w:r>
              <w:rPr>
                <w:rFonts w:ascii="Calibri" w:cs="Calibri" w:eastAsia="Calibri" w:hAnsi="Calibri"/>
                <w:sz w:val="19"/>
                <w:szCs w:val="19"/>
              </w:rPr>
              <w:t xml:space="preserve">Confirmed</w:t>
            </w:r>
          </w:p>
        </w:tc>
      </w:tr>
      <w:tr>
        <w:trPr>
          <w:cantSplit/>
          <w:tblHeader w:val="false"/>
        </w:trPr>
        <w:tc>
          <w:tcPr>
            <w:tcW w:type="dxa" w:w="116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RTP</w:t>
            </w:r>
          </w:p>
        </w:tc>
        <w:tc>
          <w:tcPr>
            <w:tcW w:type="dxa" w:w="296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camt.029</w:t>
            </w:r>
          </w:p>
        </w:tc>
        <w:tc>
          <w:tcPr>
            <w:tcW w:type="dxa" w:w="176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Mandatory</w:t>
            </w:r>
          </w:p>
        </w:tc>
        <w:tc>
          <w:tcPr>
            <w:tcW w:type="dxa" w:w="264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10 banking days; fraud reportedly exempt</w:t>
            </w:r>
          </w:p>
        </w:tc>
        <w:tc>
          <w:tcPr>
            <w:tcW w:type="dxa" w:w="156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Unverified</w:t>
            </w:r>
          </w:p>
        </w:tc>
      </w:tr>
      <w:tr>
        <w:trPr>
          <w:cantSplit/>
          <w:tblHeader w:val="false"/>
        </w:trPr>
        <w:tc>
          <w:tcPr>
            <w:tcW w:type="dxa" w:w="1160"/>
            <w:tcMar>
              <w:top w:type="dxa" w:w="70"/>
              <w:left w:type="dxa" w:w="100"/>
              <w:bottom w:type="dxa" w:w="70"/>
              <w:right w:type="dxa" w:w="100"/>
            </w:tcMar>
          </w:tcPr>
          <w:p>
            <w:pPr>
              <w:spacing w:after="30" w:before="30" w:line="232"/>
            </w:pPr>
            <w:r>
              <w:rPr>
                <w:rFonts w:ascii="Calibri" w:cs="Calibri" w:eastAsia="Calibri" w:hAnsi="Calibri"/>
                <w:sz w:val="19"/>
                <w:szCs w:val="19"/>
              </w:rPr>
              <w:t xml:space="preserve">FedNow</w:t>
            </w:r>
          </w:p>
        </w:tc>
        <w:tc>
          <w:tcPr>
            <w:tcW w:type="dxa" w:w="2960"/>
            <w:tcMar>
              <w:top w:type="dxa" w:w="70"/>
              <w:left w:type="dxa" w:w="100"/>
              <w:bottom w:type="dxa" w:w="70"/>
              <w:right w:type="dxa" w:w="100"/>
            </w:tcMar>
          </w:tcPr>
          <w:p>
            <w:pPr>
              <w:spacing w:after="30" w:before="30" w:line="232"/>
            </w:pPr>
            <w:r>
              <w:rPr>
                <w:rFonts w:ascii="Calibri" w:cs="Calibri" w:eastAsia="Calibri" w:hAnsi="Calibri"/>
                <w:sz w:val="19"/>
                <w:szCs w:val="19"/>
              </w:rPr>
              <w:t xml:space="preserve">camt.029</w:t>
            </w:r>
          </w:p>
        </w:tc>
        <w:tc>
          <w:tcPr>
            <w:tcW w:type="dxa" w:w="1760"/>
            <w:tcMar>
              <w:top w:type="dxa" w:w="70"/>
              <w:left w:type="dxa" w:w="100"/>
              <w:bottom w:type="dxa" w:w="70"/>
              <w:right w:type="dxa" w:w="100"/>
            </w:tcMar>
          </w:tcPr>
          <w:p>
            <w:pPr>
              <w:spacing w:after="30" w:before="30" w:line="232"/>
            </w:pPr>
            <w:r>
              <w:rPr>
                <w:rFonts w:ascii="Calibri" w:cs="Calibri" w:eastAsia="Calibri" w:hAnsi="Calibri"/>
                <w:sz w:val="19"/>
                <w:szCs w:val="19"/>
              </w:rPr>
              <w:t xml:space="preserve">Advisory — “should”</w:t>
            </w:r>
          </w:p>
        </w:tc>
        <w:tc>
          <w:tcPr>
            <w:tcW w:type="dxa" w:w="2640"/>
            <w:tcMar>
              <w:top w:type="dxa" w:w="70"/>
              <w:left w:type="dxa" w:w="100"/>
              <w:bottom w:type="dxa" w:w="70"/>
              <w:right w:type="dxa" w:w="100"/>
            </w:tcMar>
          </w:tcPr>
          <w:p>
            <w:pPr>
              <w:spacing w:after="30" w:before="30" w:line="232"/>
            </w:pPr>
            <w:r>
              <w:rPr>
                <w:rFonts w:ascii="Calibri" w:cs="Calibri" w:eastAsia="Calibri" w:hAnsi="Calibri"/>
                <w:sz w:val="19"/>
                <w:szCs w:val="19"/>
              </w:rPr>
              <w:t xml:space="preserve">24 hours (Interlock house policy)</w:t>
            </w:r>
          </w:p>
        </w:tc>
        <w:tc>
          <w:tcPr>
            <w:tcW w:type="dxa" w:w="1560"/>
            <w:tcMar>
              <w:top w:type="dxa" w:w="70"/>
              <w:left w:type="dxa" w:w="100"/>
              <w:bottom w:type="dxa" w:w="70"/>
              <w:right w:type="dxa" w:w="100"/>
            </w:tcMar>
          </w:tcPr>
          <w:p>
            <w:pPr>
              <w:spacing w:after="30" w:before="30" w:line="232"/>
            </w:pPr>
            <w:r>
              <w:rPr>
                <w:rFonts w:ascii="Calibri" w:cs="Calibri" w:eastAsia="Calibri" w:hAnsi="Calibri"/>
                <w:sz w:val="19"/>
                <w:szCs w:val="19"/>
              </w:rPr>
              <w:t xml:space="preserve">No rail rule found</w:t>
            </w:r>
          </w:p>
        </w:tc>
      </w:tr>
      <w:tr>
        <w:trPr>
          <w:cantSplit/>
          <w:tblHeader w:val="false"/>
        </w:trPr>
        <w:tc>
          <w:tcPr>
            <w:tcW w:type="dxa" w:w="116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Fedwire</w:t>
            </w:r>
          </w:p>
        </w:tc>
        <w:tc>
          <w:tcPr>
            <w:tcW w:type="dxa" w:w="296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camt.029</w:t>
            </w:r>
          </w:p>
        </w:tc>
        <w:tc>
          <w:tcPr>
            <w:tcW w:type="dxa" w:w="176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Advisory — “should”</w:t>
            </w:r>
          </w:p>
        </w:tc>
        <w:tc>
          <w:tcPr>
            <w:tcW w:type="dxa" w:w="264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24 hours (Interlock house policy)</w:t>
            </w:r>
          </w:p>
        </w:tc>
        <w:tc>
          <w:tcPr>
            <w:tcW w:type="dxa" w:w="156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No rail rule found</w:t>
            </w:r>
          </w:p>
        </w:tc>
      </w:tr>
    </w:tbl>
    <w:p>
      <w:pPr>
        <w:spacing w:after="100"/>
      </w:pPr>
    </w:p>
    <w:p>
      <w:pPr>
        <w:keepNext/>
        <w:keepLines/>
        <w:spacing w:after="80" w:before="180" w:line="270"/>
        <w:outlineLvl w:val="2"/>
      </w:pPr>
      <w:r>
        <w:rPr>
          <w:rFonts w:ascii="Calibri" w:cs="Calibri" w:eastAsia="Calibri" w:hAnsi="Calibri"/>
          <w:b/>
          <w:bCs/>
          <w:color w:val="1F4D78"/>
          <w:sz w:val="22"/>
          <w:szCs w:val="22"/>
        </w:rPr>
        <w:t xml:space="preserve">Notes of record</w:t>
      </w:r>
    </w:p>
    <w:p>
      <w:pPr>
        <w:pStyle w:val="ListParagraph"/>
        <w:numPr>
          <w:ilvl w:val="0"/>
          <w:numId w:val="1"/>
        </w:numPr>
        <w:spacing w:after="80" w:line="264"/>
        <w:jc w:val="both"/>
      </w:pPr>
      <w:r>
        <w:rPr>
          <w:rFonts w:ascii="Calibri" w:cs="Calibri" w:eastAsia="Calibri" w:hAnsi="Calibri"/>
          <w:sz w:val="21"/>
          <w:szCs w:val="21"/>
        </w:rPr>
        <w:t xml:space="preserve">FedNow does not use the ISO canonical names anywhere in its own documentation. It calls these Return Request and Return Request Response, never FIToFIPaymentCancellationRequest or ResolutionOfInvestigation.</w:t>
      </w:r>
    </w:p>
    <w:p>
      <w:pPr>
        <w:pStyle w:val="ListParagraph"/>
        <w:numPr>
          <w:ilvl w:val="0"/>
          <w:numId w:val="1"/>
        </w:numPr>
        <w:spacing w:after="80" w:line="264"/>
        <w:jc w:val="both"/>
      </w:pPr>
      <w:r>
        <w:rPr>
          <w:rFonts w:ascii="Calibri" w:cs="Calibri" w:eastAsia="Calibri" w:hAnsi="Calibri"/>
          <w:sz w:val="21"/>
          <w:szCs w:val="21"/>
        </w:rPr>
        <w:t xml:space="preserve">camt.029 is overloaded on FedNow: it also answers camt.055 and camt.026. Intent cannot be inferred from message type, so a parser must disambiguate by the underlying case and refuse when it cannot.</w:t>
      </w:r>
    </w:p>
    <w:p>
      <w:pPr>
        <w:pStyle w:val="ListParagraph"/>
        <w:numPr>
          <w:ilvl w:val="0"/>
          <w:numId w:val="1"/>
        </w:numPr>
        <w:spacing w:after="80" w:line="264"/>
        <w:jc w:val="both"/>
      </w:pPr>
      <w:r>
        <w:rPr>
          <w:rFonts w:ascii="Calibri" w:cs="Calibri" w:eastAsia="Calibri" w:hAnsi="Calibri"/>
          <w:sz w:val="21"/>
          <w:szCs w:val="21"/>
        </w:rPr>
        <w:t xml:space="preserve">On Fedwire, the Federal Reserve warns that using camt.110 to request a return “may cause a rejection by a Fedwire receiver.” camt.110 is a cross-border construct and is the wrong tool.</w:t>
      </w:r>
    </w:p>
    <w:p>
      <w:pPr>
        <w:pStyle w:val="ListParagraph"/>
        <w:numPr>
          <w:ilvl w:val="0"/>
          <w:numId w:val="1"/>
        </w:numPr>
        <w:spacing w:after="80" w:line="264"/>
        <w:jc w:val="both"/>
      </w:pPr>
      <w:r>
        <w:rPr>
          <w:rFonts w:ascii="Calibri" w:cs="Calibri" w:eastAsia="Calibri" w:hAnsi="Calibri"/>
          <w:sz w:val="21"/>
          <w:szCs w:val="21"/>
        </w:rPr>
        <w:t xml:space="preserve">R06 — Return per ODFI’s Request — carries no reason at all. Since 1 October 2024 an originator may request a return for any reason, which is what brought scam cases into scope and what makes the code uninformative. The reason travels in a standardised PDF letter of indemnity. On the rail with the strongest response obligation in US payments, the machine-readable artifact cannot say why the money is wanted back.</w:t>
      </w:r>
    </w:p>
    <w:p>
      <w:pPr>
        <w:pStyle w:val="ListParagraph"/>
        <w:numPr>
          <w:ilvl w:val="0"/>
          <w:numId w:val="1"/>
        </w:numPr>
        <w:spacing w:after="80" w:line="264"/>
        <w:jc w:val="both"/>
      </w:pPr>
      <w:r>
        <w:rPr>
          <w:rFonts w:ascii="Calibri" w:cs="Calibri" w:eastAsia="Calibri" w:hAnsi="Calibri"/>
          <w:sz w:val="21"/>
          <w:szCs w:val="21"/>
        </w:rPr>
        <w:t xml:space="preserve">A holiday falling on Saturday leaves Federal Reserve Banks open the preceding Friday; only the Board of Governors closes. A holiday falling on Sunday closes all offices the following Monday. Borrowing the federal-employee rule would compute deadlines a full day late, in the institution’s own favour, on an obligation it is legally required to meet.</w:t>
      </w:r>
    </w:p>
    <w:p>
      <w:pPr>
        <w:keepNext/>
        <w:keepLines/>
        <w:spacing w:after="120" w:before="260" w:line="300"/>
        <w:outlineLvl w:val="0"/>
      </w:pPr>
      <w:bookmarkStart w:name="sb" w:id="1"/>
      <w:r>
        <w:rPr>
          <w:rFonts w:ascii="Calibri" w:cs="Calibri" w:eastAsia="Calibri" w:hAnsi="Calibri"/>
          <w:b/>
          <w:bCs/>
          <w:color w:val="1F3A5F"/>
          <w:sz w:val="28"/>
          <w:szCs w:val="28"/>
        </w:rPr>
        <w:t xml:space="preserve">Appendix B — Data Model and Events</w:t>
      </w:r>
      <w:bookmarkEnd w:id="1"/>
    </w:p>
    <w:p>
      <w:pPr>
        <w:keepNext/>
        <w:keepLines/>
        <w:spacing w:after="80" w:before="180" w:line="270"/>
        <w:outlineLvl w:val="2"/>
      </w:pPr>
      <w:r>
        <w:rPr>
          <w:rFonts w:ascii="Calibri" w:cs="Calibri" w:eastAsia="Calibri" w:hAnsi="Calibri"/>
          <w:b/>
          <w:bCs/>
          <w:color w:val="1F4D78"/>
          <w:sz w:val="22"/>
          <w:szCs w:val="22"/>
        </w:rPr>
        <w:t xml:space="preserve">Canonical case</w:t>
      </w:r>
    </w:p>
    <w:tbl>
      <w:tblPr>
        <w:tblW w:type="dxa" w:w="10080"/>
        <w:tblBorders>
          <w:top w:val="single" w:color="BBBBBB" w:sz="3"/>
          <w:left w:val="single" w:color="BBBBBB" w:sz="3"/>
          <w:bottom w:val="single" w:color="BBBBBB" w:sz="3"/>
          <w:right w:val="single" w:color="BBBBBB" w:sz="3"/>
          <w:insideH w:val="single" w:color="BBBBBB" w:sz="3"/>
          <w:insideV w:val="single" w:color="BBBBBB" w:sz="3"/>
        </w:tblBorders>
      </w:tblPr>
      <w:tblGrid>
        <w:gridCol w:w="2520"/>
        <w:gridCol w:w="7560"/>
      </w:tblGrid>
      <w:tr>
        <w:trPr>
          <w:cantSplit/>
          <w:tblHeader/>
        </w:trPr>
        <w:tc>
          <w:tcPr>
            <w:tcW w:type="dxa" w:w="2520"/>
            <w:shd w:fill="1F3A5F" w:color="auto" w:val="clear"/>
            <w:tcMar>
              <w:top w:type="dxa" w:w="70"/>
              <w:left w:type="dxa" w:w="100"/>
              <w:bottom w:type="dxa" w:w="70"/>
              <w:right w:type="dxa" w:w="100"/>
            </w:tcMar>
          </w:tcPr>
          <w:p>
            <w:pPr>
              <w:spacing w:after="30" w:before="30" w:line="232"/>
            </w:pPr>
            <w:r>
              <w:rPr>
                <w:rFonts w:ascii="Calibri" w:cs="Calibri" w:eastAsia="Calibri" w:hAnsi="Calibri"/>
                <w:b/>
                <w:bCs/>
                <w:color w:val="FFFFFF"/>
                <w:sz w:val="19"/>
                <w:szCs w:val="19"/>
              </w:rPr>
              <w:t xml:space="preserve">Field</w:t>
            </w:r>
          </w:p>
        </w:tc>
        <w:tc>
          <w:tcPr>
            <w:tcW w:type="dxa" w:w="7560"/>
            <w:shd w:fill="1F3A5F" w:color="auto" w:val="clear"/>
            <w:tcMar>
              <w:top w:type="dxa" w:w="70"/>
              <w:left w:type="dxa" w:w="100"/>
              <w:bottom w:type="dxa" w:w="70"/>
              <w:right w:type="dxa" w:w="100"/>
            </w:tcMar>
          </w:tcPr>
          <w:p>
            <w:pPr>
              <w:spacing w:after="30" w:before="30" w:line="232"/>
            </w:pPr>
            <w:r>
              <w:rPr>
                <w:rFonts w:ascii="Calibri" w:cs="Calibri" w:eastAsia="Calibri" w:hAnsi="Calibri"/>
                <w:b/>
                <w:bCs/>
                <w:color w:val="FFFFFF"/>
                <w:sz w:val="19"/>
                <w:szCs w:val="19"/>
              </w:rPr>
              <w:t xml:space="preserve">Note</w:t>
            </w:r>
          </w:p>
        </w:tc>
      </w:tr>
      <w:tr>
        <w:trPr>
          <w:cantSplit/>
          <w:tblHeader w:val="false"/>
        </w:trPr>
        <w:tc>
          <w:tcPr>
            <w:tcW w:type="dxa" w:w="2520"/>
            <w:tcMar>
              <w:top w:type="dxa" w:w="70"/>
              <w:left w:type="dxa" w:w="100"/>
              <w:bottom w:type="dxa" w:w="70"/>
              <w:right w:type="dxa" w:w="100"/>
            </w:tcMar>
          </w:tcPr>
          <w:p>
            <w:pPr>
              <w:spacing w:after="30" w:before="30" w:line="232"/>
            </w:pPr>
            <w:r>
              <w:rPr>
                <w:rFonts w:ascii="Calibri" w:cs="Calibri" w:eastAsia="Calibri" w:hAnsi="Calibri"/>
                <w:sz w:val="19"/>
                <w:szCs w:val="19"/>
              </w:rPr>
              <w:t xml:space="preserve">case_id</w:t>
            </w:r>
          </w:p>
        </w:tc>
        <w:tc>
          <w:tcPr>
            <w:tcW w:type="dxa" w:w="7560"/>
            <w:tcMar>
              <w:top w:type="dxa" w:w="70"/>
              <w:left w:type="dxa" w:w="100"/>
              <w:bottom w:type="dxa" w:w="70"/>
              <w:right w:type="dxa" w:w="100"/>
            </w:tcMar>
          </w:tcPr>
          <w:p>
            <w:pPr>
              <w:spacing w:after="30" w:before="30" w:line="232"/>
            </w:pPr>
            <w:r>
              <w:rPr>
                <w:rFonts w:ascii="Calibri" w:cs="Calibri" w:eastAsia="Calibri" w:hAnsi="Calibri"/>
                <w:sz w:val="19"/>
                <w:szCs w:val="19"/>
              </w:rPr>
              <w:t xml:space="preserve">Interlock’s own identifier, stable across the case’s life.</w:t>
            </w:r>
          </w:p>
        </w:tc>
      </w:tr>
      <w:tr>
        <w:trPr>
          <w:cantSplit/>
          <w:tblHeader w:val="false"/>
        </w:trPr>
        <w:tc>
          <w:tcPr>
            <w:tcW w:type="dxa" w:w="252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rail, direction, channel</w:t>
            </w:r>
          </w:p>
        </w:tc>
        <w:tc>
          <w:tcPr>
            <w:tcW w:type="dxa" w:w="756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Direction is a property of who is running the system, not of the message. Channel is recorded separately from rail because they come apart in both directions.</w:t>
            </w:r>
          </w:p>
        </w:tc>
      </w:tr>
      <w:tr>
        <w:trPr>
          <w:cantSplit/>
          <w:tblHeader w:val="false"/>
        </w:trPr>
        <w:tc>
          <w:tcPr>
            <w:tcW w:type="dxa" w:w="2520"/>
            <w:tcMar>
              <w:top w:type="dxa" w:w="70"/>
              <w:left w:type="dxa" w:w="100"/>
              <w:bottom w:type="dxa" w:w="70"/>
              <w:right w:type="dxa" w:w="100"/>
            </w:tcMar>
          </w:tcPr>
          <w:p>
            <w:pPr>
              <w:spacing w:after="30" w:before="30" w:line="232"/>
            </w:pPr>
            <w:r>
              <w:rPr>
                <w:rFonts w:ascii="Calibri" w:cs="Calibri" w:eastAsia="Calibri" w:hAnsi="Calibri"/>
                <w:sz w:val="19"/>
                <w:szCs w:val="19"/>
              </w:rPr>
              <w:t xml:space="preserve">original_payment_reference</w:t>
            </w:r>
          </w:p>
        </w:tc>
        <w:tc>
          <w:tcPr>
            <w:tcW w:type="dxa" w:w="7560"/>
            <w:tcMar>
              <w:top w:type="dxa" w:w="70"/>
              <w:left w:type="dxa" w:w="100"/>
              <w:bottom w:type="dxa" w:w="70"/>
              <w:right w:type="dxa" w:w="100"/>
            </w:tcMar>
          </w:tcPr>
          <w:p>
            <w:pPr>
              <w:spacing w:after="30" w:before="30" w:line="232"/>
            </w:pPr>
            <w:r>
              <w:rPr>
                <w:rFonts w:ascii="Calibri" w:cs="Calibri" w:eastAsia="Calibri" w:hAnsi="Calibri"/>
                <w:sz w:val="19"/>
                <w:szCs w:val="19"/>
              </w:rPr>
              <w:t xml:space="preserve">The rail’s identifier for the payment being clawed back. Opaque to us.</w:t>
            </w:r>
          </w:p>
        </w:tc>
      </w:tr>
      <w:tr>
        <w:trPr>
          <w:cantSplit/>
          <w:tblHeader w:val="false"/>
        </w:trPr>
        <w:tc>
          <w:tcPr>
            <w:tcW w:type="dxa" w:w="252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amount_cents, currency</w:t>
            </w:r>
          </w:p>
        </w:tc>
        <w:tc>
          <w:tcPr>
            <w:tcW w:type="dxa" w:w="756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Integer cents. A fractional cent is refused, never rounded.</w:t>
            </w:r>
          </w:p>
        </w:tc>
      </w:tr>
      <w:tr>
        <w:trPr>
          <w:cantSplit/>
          <w:tblHeader w:val="false"/>
        </w:trPr>
        <w:tc>
          <w:tcPr>
            <w:tcW w:type="dxa" w:w="2520"/>
            <w:tcMar>
              <w:top w:type="dxa" w:w="70"/>
              <w:left w:type="dxa" w:w="100"/>
              <w:bottom w:type="dxa" w:w="70"/>
              <w:right w:type="dxa" w:w="100"/>
            </w:tcMar>
          </w:tcPr>
          <w:p>
            <w:pPr>
              <w:spacing w:after="30" w:before="30" w:line="232"/>
            </w:pPr>
            <w:r>
              <w:rPr>
                <w:rFonts w:ascii="Calibri" w:cs="Calibri" w:eastAsia="Calibri" w:hAnsi="Calibri"/>
                <w:sz w:val="19"/>
                <w:szCs w:val="19"/>
              </w:rPr>
              <w:t xml:space="preserve">reason</w:t>
            </w:r>
          </w:p>
        </w:tc>
        <w:tc>
          <w:tcPr>
            <w:tcW w:type="dxa" w:w="7560"/>
            <w:tcMar>
              <w:top w:type="dxa" w:w="70"/>
              <w:left w:type="dxa" w:w="100"/>
              <w:bottom w:type="dxa" w:w="70"/>
              <w:right w:type="dxa" w:w="100"/>
            </w:tcMar>
          </w:tcPr>
          <w:p>
            <w:pPr>
              <w:spacing w:after="30" w:before="30" w:line="232"/>
            </w:pPr>
            <w:r>
              <w:rPr>
                <w:rFonts w:ascii="Calibri" w:cs="Calibri" w:eastAsia="Calibri" w:hAnsi="Calibri"/>
                <w:sz w:val="19"/>
                <w:szCs w:val="19"/>
              </w:rPr>
              <w:t xml:space="preserve">A small canonical set. The distinction between an authorised-but-deceived payment and an unauthorised one is load-bearing: different legal footing, different clock, different liability.</w:t>
            </w:r>
          </w:p>
        </w:tc>
      </w:tr>
      <w:tr>
        <w:trPr>
          <w:cantSplit/>
          <w:tblHeader w:val="false"/>
        </w:trPr>
        <w:tc>
          <w:tcPr>
            <w:tcW w:type="dxa" w:w="252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original_settled_at</w:t>
            </w:r>
          </w:p>
        </w:tc>
        <w:tc>
          <w:tcPr>
            <w:tcW w:type="dxa" w:w="756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The most important field for triage. A case without it can be worked but cannot be ranked.</w:t>
            </w:r>
          </w:p>
        </w:tc>
      </w:tr>
      <w:tr>
        <w:trPr>
          <w:cantSplit/>
          <w:tblHeader w:val="false"/>
        </w:trPr>
        <w:tc>
          <w:tcPr>
            <w:tcW w:type="dxa" w:w="2520"/>
            <w:tcMar>
              <w:top w:type="dxa" w:w="70"/>
              <w:left w:type="dxa" w:w="100"/>
              <w:bottom w:type="dxa" w:w="70"/>
              <w:right w:type="dxa" w:w="100"/>
            </w:tcMar>
          </w:tcPr>
          <w:p>
            <w:pPr>
              <w:spacing w:after="30" w:before="30" w:line="232"/>
            </w:pPr>
            <w:r>
              <w:rPr>
                <w:rFonts w:ascii="Calibri" w:cs="Calibri" w:eastAsia="Calibri" w:hAnsi="Calibri"/>
                <w:sz w:val="19"/>
                <w:szCs w:val="19"/>
              </w:rPr>
              <w:t xml:space="preserve">victim_reported_at</w:t>
            </w:r>
          </w:p>
        </w:tc>
        <w:tc>
          <w:tcPr>
            <w:tcW w:type="dxa" w:w="7560"/>
            <w:tcMar>
              <w:top w:type="dxa" w:w="70"/>
              <w:left w:type="dxa" w:w="100"/>
              <w:bottom w:type="dxa" w:w="70"/>
              <w:right w:type="dxa" w:w="100"/>
            </w:tcMar>
          </w:tcPr>
          <w:p>
            <w:pPr>
              <w:spacing w:after="30" w:before="30" w:line="232"/>
            </w:pPr>
            <w:r>
              <w:rPr>
                <w:rFonts w:ascii="Calibri" w:cs="Calibri" w:eastAsia="Calibri" w:hAnsi="Calibri"/>
                <w:sz w:val="19"/>
                <w:szCs w:val="19"/>
              </w:rPr>
              <w:t xml:space="preserve">When the customer spoke, not when the request was raised. The gap is what the sending institution’s own process cost.</w:t>
            </w:r>
          </w:p>
        </w:tc>
      </w:tr>
      <w:tr>
        <w:trPr>
          <w:cantSplit/>
          <w:tblHeader w:val="false"/>
        </w:trPr>
        <w:tc>
          <w:tcPr>
            <w:tcW w:type="dxa" w:w="252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state</w:t>
            </w:r>
          </w:p>
        </w:tc>
        <w:tc>
          <w:tcPr>
            <w:tcW w:type="dxa" w:w="7560"/>
            <w:shd w:fill="EFF1F4" w:color="auto" w:val="clear"/>
            <w:tcMar>
              <w:top w:type="dxa" w:w="70"/>
              <w:left w:type="dxa" w:w="100"/>
              <w:bottom w:type="dxa" w:w="70"/>
              <w:right w:type="dxa" w:w="100"/>
            </w:tcMar>
          </w:tcPr>
          <w:p>
            <w:pPr>
              <w:spacing w:after="30" w:before="30" w:line="232"/>
            </w:pPr>
            <w:r>
              <w:rPr>
                <w:rFonts w:ascii="Calibri" w:cs="Calibri" w:eastAsia="Calibri" w:hAnsi="Calibri"/>
                <w:sz w:val="19"/>
                <w:szCs w:val="19"/>
              </w:rPr>
              <w:t xml:space="preserve">Received, acknowledged, investigating, disposed. Only disposed is terminal, and it cannot be reached without a disposition.</w:t>
            </w:r>
          </w:p>
        </w:tc>
      </w:tr>
      <w:tr>
        <w:trPr>
          <w:cantSplit/>
          <w:tblHeader w:val="false"/>
        </w:trPr>
        <w:tc>
          <w:tcPr>
            <w:tcW w:type="dxa" w:w="2520"/>
            <w:tcMar>
              <w:top w:type="dxa" w:w="70"/>
              <w:left w:type="dxa" w:w="100"/>
              <w:bottom w:type="dxa" w:w="70"/>
              <w:right w:type="dxa" w:w="100"/>
            </w:tcMar>
          </w:tcPr>
          <w:p>
            <w:pPr>
              <w:spacing w:after="30" w:before="30" w:line="232"/>
            </w:pPr>
            <w:r>
              <w:rPr>
                <w:rFonts w:ascii="Calibri" w:cs="Calibri" w:eastAsia="Calibri" w:hAnsi="Calibri"/>
                <w:sz w:val="19"/>
                <w:szCs w:val="19"/>
              </w:rPr>
              <w:t xml:space="preserve">native</w:t>
            </w:r>
          </w:p>
        </w:tc>
        <w:tc>
          <w:tcPr>
            <w:tcW w:type="dxa" w:w="7560"/>
            <w:tcMar>
              <w:top w:type="dxa" w:w="70"/>
              <w:left w:type="dxa" w:w="100"/>
              <w:bottom w:type="dxa" w:w="70"/>
              <w:right w:type="dxa" w:w="100"/>
            </w:tcMar>
          </w:tcPr>
          <w:p>
            <w:pPr>
              <w:spacing w:after="30" w:before="30" w:line="232"/>
            </w:pPr>
            <w:r>
              <w:rPr>
                <w:rFonts w:ascii="Calibri" w:cs="Calibri" w:eastAsia="Calibri" w:hAnsi="Calibri"/>
                <w:sz w:val="19"/>
                <w:szCs w:val="19"/>
              </w:rPr>
              <w:t xml:space="preserve">Every rail value with no canonical home, so the original message can be reproduced exactly. Where the canonical reading and the native code disagree, the native code is the fact.</w:t>
            </w:r>
          </w:p>
        </w:tc>
      </w:tr>
    </w:tbl>
    <w:p>
      <w:pPr>
        <w:spacing w:after="100"/>
      </w:pPr>
    </w:p>
    <w:p>
      <w:pPr>
        <w:keepNext/>
        <w:keepLines/>
        <w:spacing w:after="80" w:before="180" w:line="270"/>
        <w:outlineLvl w:val="2"/>
      </w:pPr>
      <w:r>
        <w:rPr>
          <w:rFonts w:ascii="Calibri" w:cs="Calibri" w:eastAsia="Calibri" w:hAnsi="Calibri"/>
          <w:b/>
          <w:bCs/>
          <w:color w:val="1F4D78"/>
          <w:sz w:val="22"/>
          <w:szCs w:val="22"/>
        </w:rPr>
        <w:t xml:space="preserve">Dispositions</w:t>
      </w:r>
    </w:p>
    <w:p>
      <w:pPr>
        <w:spacing w:after="120" w:line="264"/>
        <w:jc w:val="both"/>
      </w:pPr>
      <w:r>
        <w:rPr>
          <w:rFonts w:ascii="Calibri" w:cs="Calibri" w:eastAsia="Calibri" w:hAnsi="Calibri"/>
          <w:sz w:val="21"/>
          <w:szCs w:val="21"/>
        </w:rPr>
        <w:t xml:space="preserve">Every disposition is terminal. There is deliberately no pending state and no null: a request that goes quiet is the failure this product exists to remove, so the type system offers no way to express one. Funds returned, partial return, funds frozen, insufficient funds, account holder disputes, declined with reason, and window expiry acknowledged. The last of these is a recorded outcome, not the absence of one — the distinction is the entire point of the design.</w:t>
      </w:r>
    </w:p>
    <w:p>
      <w:pPr>
        <w:keepNext/>
        <w:keepLines/>
        <w:spacing w:after="120" w:before="260" w:line="300"/>
        <w:outlineLvl w:val="0"/>
      </w:pPr>
      <w:bookmarkStart w:name="sc" w:id="1"/>
      <w:r>
        <w:rPr>
          <w:rFonts w:ascii="Calibri" w:cs="Calibri" w:eastAsia="Calibri" w:hAnsi="Calibri"/>
          <w:b/>
          <w:bCs/>
          <w:color w:val="1F3A5F"/>
          <w:sz w:val="28"/>
          <w:szCs w:val="28"/>
        </w:rPr>
        <w:t xml:space="preserve">Appendix C — Sources</w:t>
      </w:r>
      <w:bookmarkEnd w:id="1"/>
    </w:p>
    <w:p>
      <w:pPr>
        <w:keepNext/>
        <w:keepLines/>
        <w:spacing w:after="80" w:before="180" w:line="270"/>
        <w:outlineLvl w:val="2"/>
      </w:pPr>
      <w:r>
        <w:rPr>
          <w:rFonts w:ascii="Calibri" w:cs="Calibri" w:eastAsia="Calibri" w:hAnsi="Calibri"/>
          <w:b/>
          <w:bCs/>
          <w:color w:val="1F4D78"/>
          <w:sz w:val="22"/>
          <w:szCs w:val="22"/>
        </w:rPr>
        <w:t xml:space="preserve">Rails and rules</w:t>
      </w:r>
    </w:p>
    <w:p>
      <w:pPr>
        <w:pStyle w:val="ListParagraph"/>
        <w:numPr>
          <w:ilvl w:val="0"/>
          <w:numId w:val="1"/>
        </w:numPr>
        <w:spacing w:after="80" w:line="264"/>
        <w:jc w:val="both"/>
      </w:pPr>
      <w:r>
        <w:rPr>
          <w:rFonts w:ascii="Calibri" w:cs="Calibri" w:eastAsia="Calibri" w:hAnsi="Calibri"/>
          <w:sz w:val="21"/>
          <w:szCs w:val="21"/>
        </w:rPr>
        <w:t xml:space="preserve">Federal Reserve, FedNow Service Operating Circular 8 — §9.6 makes returning discretionary; §9.8.3 states participants “should” respond to nonvalue messages; §9.8.4 imposes only a duty to coordinate and use reasonable efforts; §9.8.6 disclaims any Reserve Bank obligation to act on a request. The response timeframe sits in the Operating Procedures, which could not be retrieved.</w:t>
      </w:r>
    </w:p>
    <w:p>
      <w:pPr>
        <w:pStyle w:val="ListParagraph"/>
        <w:numPr>
          <w:ilvl w:val="0"/>
          <w:numId w:val="1"/>
        </w:numPr>
        <w:spacing w:after="80" w:line="264"/>
        <w:jc w:val="both"/>
      </w:pPr>
      <w:r>
        <w:rPr>
          <w:rFonts w:ascii="Calibri" w:cs="Calibri" w:eastAsia="Calibri" w:hAnsi="Calibri"/>
          <w:sz w:val="21"/>
          <w:szCs w:val="21"/>
        </w:rPr>
        <w:t xml:space="preserve">Federal Reserve, FedNow ISO 20022 Readiness Guide — camt.056 as Return Request, camt.029 as Return Request Response, pacs.004 as Payment Return.</w:t>
      </w:r>
    </w:p>
    <w:p>
      <w:pPr>
        <w:pStyle w:val="ListParagraph"/>
        <w:numPr>
          <w:ilvl w:val="0"/>
          <w:numId w:val="1"/>
        </w:numPr>
        <w:spacing w:after="80" w:line="264"/>
        <w:jc w:val="both"/>
      </w:pPr>
      <w:r>
        <w:rPr>
          <w:rFonts w:ascii="Calibri" w:cs="Calibri" w:eastAsia="Calibri" w:hAnsi="Calibri"/>
          <w:sz w:val="21"/>
          <w:szCs w:val="21"/>
        </w:rPr>
        <w:t xml:space="preserve">Nacha, rule effective 1 April 2025 — an RDFI must advise the ODFI of its decision or the status of a request within ten banking days, regardless of whether it complies. Method of notification flexible; no format prescribed.</w:t>
      </w:r>
    </w:p>
    <w:p>
      <w:pPr>
        <w:pStyle w:val="ListParagraph"/>
        <w:numPr>
          <w:ilvl w:val="0"/>
          <w:numId w:val="1"/>
        </w:numPr>
        <w:spacing w:after="80" w:line="264"/>
        <w:jc w:val="both"/>
      </w:pPr>
      <w:r>
        <w:rPr>
          <w:rFonts w:ascii="Calibri" w:cs="Calibri" w:eastAsia="Calibri" w:hAnsi="Calibri"/>
          <w:sz w:val="21"/>
          <w:szCs w:val="21"/>
        </w:rPr>
        <w:t xml:space="preserve">Nacha, rules effective 1 October 2024 — request for return permitted for any reason; “False Pretenses” defined into the Rules as inducement by misrepresenting identity, authority to act, or ownership of an account to be credited.</w:t>
      </w:r>
    </w:p>
    <w:p>
      <w:pPr>
        <w:pStyle w:val="ListParagraph"/>
        <w:numPr>
          <w:ilvl w:val="0"/>
          <w:numId w:val="1"/>
        </w:numPr>
        <w:spacing w:after="80" w:line="264"/>
        <w:jc w:val="both"/>
      </w:pPr>
      <w:r>
        <w:rPr>
          <w:rFonts w:ascii="Calibri" w:cs="Calibri" w:eastAsia="Calibri" w:hAnsi="Calibri"/>
          <w:sz w:val="21"/>
          <w:szCs w:val="21"/>
        </w:rPr>
        <w:t xml:space="preserve">Nacha, fraud monitoring phases — Phase 1 effective 20 March 2026 for all ODFIs and for RDFIs above ten million 2023 receipt entries; Phase 2 effective 19 June 2026 removing volume thresholds. The RDFI duty is scoped to credit entries suspected unauthorised or authorised under False Pretenses.</w:t>
      </w:r>
    </w:p>
    <w:p>
      <w:pPr>
        <w:pStyle w:val="ListParagraph"/>
        <w:numPr>
          <w:ilvl w:val="0"/>
          <w:numId w:val="1"/>
        </w:numPr>
        <w:spacing w:after="80" w:line="264"/>
        <w:jc w:val="both"/>
      </w:pPr>
      <w:r>
        <w:rPr>
          <w:rFonts w:ascii="Calibri" w:cs="Calibri" w:eastAsia="Calibri" w:hAnsi="Calibri"/>
          <w:sz w:val="21"/>
          <w:szCs w:val="21"/>
        </w:rPr>
        <w:t xml:space="preserve">The Clearing House, RTP technical documentation — camt.056 and camt.029 published as Request for Return of Funds and its response. Operating Rule VII.C.2, quoted by a credit union self-audit guidebook as setting ten banking days with a carve-out for claimed fraud and warranty breach, could not be verified at source; the Operating Rules are robots-disallowed.</w:t>
      </w:r>
    </w:p>
    <w:p>
      <w:pPr>
        <w:pStyle w:val="ListParagraph"/>
        <w:numPr>
          <w:ilvl w:val="0"/>
          <w:numId w:val="1"/>
        </w:numPr>
        <w:spacing w:after="80" w:line="264"/>
        <w:jc w:val="both"/>
      </w:pPr>
      <w:r>
        <w:rPr>
          <w:rFonts w:ascii="Calibri" w:cs="Calibri" w:eastAsia="Calibri" w:hAnsi="Calibri"/>
          <w:sz w:val="21"/>
          <w:szCs w:val="21"/>
        </w:rPr>
        <w:t xml:space="preserve">Federal Reserve, Fedwire ISO 20022 FAQ — camt.056 and camt.029 live since 14 July 2025; camt.110 explicitly not to be used to request a return.</w:t>
      </w:r>
    </w:p>
    <w:p>
      <w:pPr>
        <w:pStyle w:val="ListParagraph"/>
        <w:numPr>
          <w:ilvl w:val="0"/>
          <w:numId w:val="1"/>
        </w:numPr>
        <w:spacing w:after="80" w:line="264"/>
        <w:jc w:val="both"/>
      </w:pPr>
      <w:r>
        <w:rPr>
          <w:rFonts w:ascii="Calibri" w:cs="Calibri" w:eastAsia="Calibri" w:hAnsi="Calibri"/>
          <w:sz w:val="21"/>
          <w:szCs w:val="21"/>
        </w:rPr>
        <w:t xml:space="preserve">Federal Reserve, holiday schedule — Reserve Banks open the preceding Friday for a Saturday holiday; all offices closed the following Monday for a Sunday holiday. Verified against published observed dates for 2026 and 2027.</w:t>
      </w:r>
    </w:p>
    <w:p>
      <w:pPr>
        <w:pStyle w:val="ListParagraph"/>
        <w:numPr>
          <w:ilvl w:val="0"/>
          <w:numId w:val="1"/>
        </w:numPr>
        <w:spacing w:after="80" w:line="264"/>
        <w:jc w:val="both"/>
      </w:pPr>
      <w:r>
        <w:rPr>
          <w:rFonts w:ascii="Calibri" w:cs="Calibri" w:eastAsia="Calibri" w:hAnsi="Calibri"/>
          <w:sz w:val="21"/>
          <w:szCs w:val="21"/>
        </w:rPr>
        <w:t xml:space="preserve">Federal Reserve Exception Resolution Service — expanded from ACH to FedNow by 31 October 2025; does not cover RTP, Zelle or wires.</w:t>
      </w:r>
    </w:p>
    <w:p>
      <w:pPr>
        <w:keepNext/>
        <w:keepLines/>
        <w:spacing w:after="80" w:before="180" w:line="270"/>
        <w:outlineLvl w:val="2"/>
      </w:pPr>
      <w:r>
        <w:rPr>
          <w:rFonts w:ascii="Calibri" w:cs="Calibri" w:eastAsia="Calibri" w:hAnsi="Calibri"/>
          <w:b/>
          <w:bCs/>
          <w:color w:val="1F4D78"/>
          <w:sz w:val="22"/>
          <w:szCs w:val="22"/>
        </w:rPr>
        <w:t xml:space="preserve">Market and regulatory</w:t>
      </w:r>
    </w:p>
    <w:p>
      <w:pPr>
        <w:pStyle w:val="ListParagraph"/>
        <w:numPr>
          <w:ilvl w:val="0"/>
          <w:numId w:val="1"/>
        </w:numPr>
        <w:spacing w:after="80" w:line="264"/>
        <w:jc w:val="both"/>
      </w:pPr>
      <w:r>
        <w:rPr>
          <w:rFonts w:ascii="Calibri" w:cs="Calibri" w:eastAsia="Calibri" w:hAnsi="Calibri"/>
          <w:sz w:val="21"/>
          <w:szCs w:val="21"/>
        </w:rPr>
        <w:t xml:space="preserve">Federal Reserve, FDIC and OCC — joint request for information on payments fraud, 16 June 2025: data “collected in an incomplete, non-standardized, ad hoc, and fragmented way”; complaints from supervised institutions about resolving interbank liability disputes.</w:t>
      </w:r>
    </w:p>
    <w:p>
      <w:pPr>
        <w:pStyle w:val="ListParagraph"/>
        <w:numPr>
          <w:ilvl w:val="0"/>
          <w:numId w:val="1"/>
        </w:numPr>
        <w:spacing w:after="80" w:line="264"/>
        <w:jc w:val="both"/>
      </w:pPr>
      <w:r>
        <w:rPr>
          <w:rFonts w:ascii="Calibri" w:cs="Calibri" w:eastAsia="Calibri" w:hAnsi="Calibri"/>
          <w:sz w:val="21"/>
          <w:szCs w:val="21"/>
        </w:rPr>
        <w:t xml:space="preserve">The Clearing House — comment letter on that request for information, 18 September 2025: bank-to-bank claims “often not efficient or effective, particularly for smaller-dollar-value claims.”</w:t>
      </w:r>
    </w:p>
    <w:p>
      <w:pPr>
        <w:pStyle w:val="ListParagraph"/>
        <w:numPr>
          <w:ilvl w:val="0"/>
          <w:numId w:val="1"/>
        </w:numPr>
        <w:spacing w:after="80" w:line="264"/>
        <w:jc w:val="both"/>
      </w:pPr>
      <w:r>
        <w:rPr>
          <w:rFonts w:ascii="Calibri" w:cs="Calibri" w:eastAsia="Calibri" w:hAnsi="Calibri"/>
          <w:sz w:val="21"/>
          <w:szCs w:val="21"/>
        </w:rPr>
        <w:t xml:space="preserve">ASC X9 Payment Fraud Forum — first convened 10 September 2026 with Federal Reserve Financial Services, The Clearing House and the US Faster Payments Council participating.</w:t>
      </w:r>
    </w:p>
    <w:p>
      <w:pPr>
        <w:pStyle w:val="ListParagraph"/>
        <w:numPr>
          <w:ilvl w:val="0"/>
          <w:numId w:val="1"/>
        </w:numPr>
        <w:spacing w:after="80" w:line="264"/>
        <w:jc w:val="both"/>
      </w:pPr>
      <w:r>
        <w:rPr>
          <w:rFonts w:ascii="Calibri" w:cs="Calibri" w:eastAsia="Calibri" w:hAnsi="Calibri"/>
          <w:sz w:val="21"/>
          <w:szCs w:val="21"/>
        </w:rPr>
        <w:t xml:space="preserve">Consumer Financial Protection Bureau — litigation against Early Warning Services and three owner institutions filed December 2024, dismissed with prejudice 5 March 2025; proposed interpretive rule on emerging payment mechanisms withdrawn 15 May 2025. No pending federal rulemaking extends Regulation E to authorised push payment scams.</w:t>
      </w:r>
    </w:p>
    <w:p>
      <w:pPr>
        <w:pStyle w:val="ListParagraph"/>
        <w:numPr>
          <w:ilvl w:val="0"/>
          <w:numId w:val="1"/>
        </w:numPr>
        <w:spacing w:after="80" w:line="264"/>
        <w:jc w:val="both"/>
      </w:pPr>
      <w:r>
        <w:rPr>
          <w:rFonts w:ascii="Calibri" w:cs="Calibri" w:eastAsia="Calibri" w:hAnsi="Calibri"/>
          <w:sz w:val="21"/>
          <w:szCs w:val="21"/>
        </w:rPr>
        <w:t xml:space="preserve">New York Attorney General v. Early Warning Services — filed 13 August 2025; motion to dismiss largely denied 20 July 2026. US APP-fraud policy is being made through litigation rather than legislation.</w:t>
      </w:r>
    </w:p>
    <w:p>
      <w:pPr>
        <w:keepNext/>
        <w:keepLines/>
        <w:spacing w:after="80" w:before="180" w:line="270"/>
        <w:outlineLvl w:val="2"/>
      </w:pPr>
      <w:r>
        <w:rPr>
          <w:rFonts w:ascii="Calibri" w:cs="Calibri" w:eastAsia="Calibri" w:hAnsi="Calibri"/>
          <w:b/>
          <w:bCs/>
          <w:color w:val="1F4D78"/>
          <w:sz w:val="22"/>
          <w:szCs w:val="22"/>
        </w:rPr>
        <w:t xml:space="preserve">Data</w:t>
      </w:r>
    </w:p>
    <w:p>
      <w:pPr>
        <w:pStyle w:val="ListParagraph"/>
        <w:numPr>
          <w:ilvl w:val="0"/>
          <w:numId w:val="1"/>
        </w:numPr>
        <w:spacing w:after="80" w:line="264"/>
        <w:jc w:val="both"/>
      </w:pPr>
      <w:r>
        <w:rPr>
          <w:rFonts w:ascii="Calibri" w:cs="Calibri" w:eastAsia="Calibri" w:hAnsi="Calibri"/>
          <w:sz w:val="21"/>
          <w:szCs w:val="21"/>
        </w:rPr>
        <w:t xml:space="preserve">FBI Internet Crime Complaint Center, 2025 annual report — $20.877 billion in reported losses across 1,008,597 complaints; Recovery Asset Team froze $679 million of $1.163 billion attempted, a 58% success rate.</w:t>
      </w:r>
    </w:p>
    <w:p>
      <w:pPr>
        <w:pStyle w:val="ListParagraph"/>
        <w:numPr>
          <w:ilvl w:val="0"/>
          <w:numId w:val="1"/>
        </w:numPr>
        <w:spacing w:after="80" w:line="264"/>
        <w:jc w:val="both"/>
      </w:pPr>
      <w:r>
        <w:rPr>
          <w:rFonts w:ascii="Calibri" w:cs="Calibri" w:eastAsia="Calibri" w:hAnsi="Calibri"/>
          <w:sz w:val="21"/>
          <w:szCs w:val="21"/>
        </w:rPr>
        <w:t xml:space="preserve">Federal Trade Commission — $15.9 billion in reported fraud losses across approximately three million reports in 2025, per March 2026 congressional testimony; $12.5 billion across 2.6 million reports in 2024. No 2025 Data Book has been published, so no 2025 payment-method breakout exists.</w:t>
      </w:r>
    </w:p>
    <w:p>
      <w:pPr>
        <w:pStyle w:val="ListParagraph"/>
        <w:numPr>
          <w:ilvl w:val="0"/>
          <w:numId w:val="1"/>
        </w:numPr>
        <w:spacing w:after="80" w:line="264"/>
        <w:jc w:val="both"/>
      </w:pPr>
      <w:r>
        <w:rPr>
          <w:rFonts w:ascii="Calibri" w:cs="Calibri" w:eastAsia="Calibri" w:hAnsi="Calibri"/>
          <w:sz w:val="21"/>
          <w:szCs w:val="21"/>
        </w:rPr>
        <w:t xml:space="preserve">Federal Reserve, FedNow volume and value statistics — 4,997,811 transactions worth $274.7 billion in Q2 2026. Richmond Federal Reserve economic brief: approximately 1,725 participating institutions as of Q1 2026.</w:t>
      </w:r>
    </w:p>
    <w:p>
      <w:pPr>
        <w:pStyle w:val="ListParagraph"/>
        <w:numPr>
          <w:ilvl w:val="0"/>
          <w:numId w:val="1"/>
        </w:numPr>
        <w:spacing w:after="80" w:line="264"/>
        <w:jc w:val="both"/>
      </w:pPr>
      <w:r>
        <w:rPr>
          <w:rFonts w:ascii="Calibri" w:cs="Calibri" w:eastAsia="Calibri" w:hAnsi="Calibri"/>
          <w:sz w:val="21"/>
          <w:szCs w:val="21"/>
        </w:rPr>
        <w:t xml:space="preserve">The Clearing House, RTP network — 1,357 participants as of August 2026; 142 million transactions worth $576 billion in Q2 2026; per-transaction cap raised to $10 million in February 2025.</w:t>
      </w:r>
    </w:p>
    <w:p>
      <w:pPr>
        <w:pStyle w:val="ListParagraph"/>
        <w:numPr>
          <w:ilvl w:val="0"/>
          <w:numId w:val="1"/>
        </w:numPr>
        <w:spacing w:after="80" w:line="264"/>
        <w:jc w:val="both"/>
      </w:pPr>
      <w:r>
        <w:rPr>
          <w:rFonts w:ascii="Calibri" w:cs="Calibri" w:eastAsia="Calibri" w:hAnsi="Calibri"/>
          <w:sz w:val="21"/>
          <w:szCs w:val="21"/>
        </w:rPr>
        <w:t xml:space="preserve">RUSI, </w:t>
      </w:r>
      <w:r>
        <w:rPr>
          <w:rFonts w:ascii="Calibri" w:cs="Calibri" w:eastAsia="Calibri" w:hAnsi="Calibri"/>
          <w:i/>
          <w:iCs/>
          <w:sz w:val="21"/>
          <w:szCs w:val="21"/>
        </w:rPr>
        <w:t xml:space="preserve">Following the Fraud: The Role of Money Mules</w:t>
      </w:r>
      <w:r>
        <w:rPr>
          <w:rFonts w:ascii="Calibri" w:cs="Calibri" w:eastAsia="Calibri" w:hAnsi="Calibri"/>
          <w:sz w:val="21"/>
          <w:szCs w:val="21"/>
        </w:rPr>
        <w:t xml:space="preserve">, July 2025 — anonymised Lloyds Banking Group data, June to August 2024: approximately 28% of value left mule accounts within fifteen minutes, a further 25% within one hour, under 15% remaining after twenty-four hours. United Kingdom rails; used as a labelled assumption, never presented as a US statistic.</w:t>
      </w:r>
    </w:p>
    <w:p>
      <w:pPr>
        <w:pStyle w:val="ListParagraph"/>
        <w:numPr>
          <w:ilvl w:val="0"/>
          <w:numId w:val="1"/>
        </w:numPr>
        <w:spacing w:after="80" w:line="264"/>
        <w:jc w:val="both"/>
      </w:pPr>
      <w:r>
        <w:rPr>
          <w:rFonts w:ascii="Calibri" w:cs="Calibri" w:eastAsia="Calibri" w:hAnsi="Calibri"/>
          <w:sz w:val="21"/>
          <w:szCs w:val="21"/>
        </w:rPr>
        <w:t xml:space="preserve">UK Finance, Annual Fraud Report 2026 — £576.4 million in APP losses across 248,070 cases in 2025, of which £354.3 million reimbursed. Payment Systems Regulator dashboard reports 88% reimbursement on in-scope Faster Payments claims over the eighteen months from 7 October 2024; the two figures measure different populations and are routinely conflated.</w:t>
      </w:r>
    </w:p>
    <w:p>
      <w:pPr>
        <w:keepNext/>
        <w:keepLines/>
        <w:spacing w:after="80" w:before="180" w:line="270"/>
        <w:outlineLvl w:val="2"/>
      </w:pPr>
      <w:r>
        <w:rPr>
          <w:rFonts w:ascii="Calibri" w:cs="Calibri" w:eastAsia="Calibri" w:hAnsi="Calibri"/>
          <w:b/>
          <w:bCs/>
          <w:color w:val="1F4D78"/>
          <w:sz w:val="22"/>
          <w:szCs w:val="22"/>
        </w:rPr>
        <w:t xml:space="preserve">Competitive</w:t>
      </w:r>
    </w:p>
    <w:p>
      <w:pPr>
        <w:pStyle w:val="ListParagraph"/>
        <w:numPr>
          <w:ilvl w:val="0"/>
          <w:numId w:val="1"/>
        </w:numPr>
        <w:spacing w:after="80" w:line="264"/>
        <w:jc w:val="both"/>
      </w:pPr>
      <w:r>
        <w:rPr>
          <w:rFonts w:ascii="Calibri" w:cs="Calibri" w:eastAsia="Calibri" w:hAnsi="Calibri"/>
          <w:sz w:val="21"/>
          <w:szCs w:val="21"/>
        </w:rPr>
        <w:t xml:space="preserve">Mastercard — A2A Protect “Recover”, announced 28 July 2025, providing “a uniform procedure for banks to resolve disputes and recover funds.” United Kingdom first; no US timeline announced.</w:t>
      </w:r>
    </w:p>
    <w:p>
      <w:pPr>
        <w:pStyle w:val="ListParagraph"/>
        <w:numPr>
          <w:ilvl w:val="0"/>
          <w:numId w:val="1"/>
        </w:numPr>
        <w:spacing w:after="80" w:line="264"/>
        <w:jc w:val="both"/>
      </w:pPr>
      <w:r>
        <w:rPr>
          <w:rFonts w:ascii="Calibri" w:cs="Calibri" w:eastAsia="Calibri" w:hAnsi="Calibri"/>
          <w:sz w:val="21"/>
          <w:szCs w:val="21"/>
        </w:rPr>
        <w:t xml:space="preserve">Salv — Bridge, interbank fraud investigation and fund recovery across sixteen-plus European and UK jurisdictions with more than one hundred institutions; approximately 80% recovery claimed. Vendor-reported and unaudited. No US presence.</w:t>
      </w:r>
    </w:p>
    <w:p>
      <w:pPr>
        <w:pStyle w:val="ListParagraph"/>
        <w:numPr>
          <w:ilvl w:val="0"/>
          <w:numId w:val="1"/>
        </w:numPr>
        <w:spacing w:after="80" w:line="264"/>
        <w:jc w:val="both"/>
      </w:pPr>
      <w:r>
        <w:rPr>
          <w:rFonts w:ascii="Calibri" w:cs="Calibri" w:eastAsia="Calibri" w:hAnsi="Calibri"/>
          <w:sz w:val="21"/>
          <w:szCs w:val="21"/>
        </w:rPr>
        <w:t xml:space="preserve">Quavo — product pages list cards, ACH, wire, Zelle, RTP, ATM, checks and bill pay. FedNow appears in neither the product pages nor the news archive through July 2026; this is an inference from absence, not a vendor denial.</w:t>
      </w:r>
    </w:p>
    <w:p>
      <w:pPr>
        <w:pStyle w:val="ListParagraph"/>
        <w:numPr>
          <w:ilvl w:val="0"/>
          <w:numId w:val="1"/>
        </w:numPr>
        <w:spacing w:after="80" w:line="264"/>
        <w:jc w:val="both"/>
      </w:pPr>
      <w:r>
        <w:rPr>
          <w:rFonts w:ascii="Calibri" w:cs="Calibri" w:eastAsia="Calibri" w:hAnsi="Calibri"/>
          <w:sz w:val="21"/>
          <w:szCs w:val="21"/>
        </w:rPr>
        <w:t xml:space="preserve">Feedzai — federated scoring network across a claimed $9 trillion in transactions, opened June 2026, marketed as delivering value from day one without a consortium.</w:t>
      </w:r>
    </w:p>
    <w:p>
      <w:pPr>
        <w:pStyle w:val="ListParagraph"/>
        <w:numPr>
          <w:ilvl w:val="0"/>
          <w:numId w:val="1"/>
        </w:numPr>
        <w:spacing w:after="80" w:line="264"/>
        <w:jc w:val="both"/>
      </w:pPr>
      <w:r>
        <w:rPr>
          <w:rFonts w:ascii="Calibri" w:cs="Calibri" w:eastAsia="Calibri" w:hAnsi="Calibri"/>
          <w:sz w:val="21"/>
          <w:szCs w:val="21"/>
        </w:rPr>
        <w:t xml:space="preserve">Visa — completed acquisition of Featurespace 19 December 2024; A2A Protect enhanced with a unified fraud score, September 2026, Europe-focused. No recovery module found.</w:t>
      </w:r>
    </w:p>
    <w:p>
      <w:pPr>
        <w:spacing w:after="120" w:line="264"/>
        <w:jc w:val="both"/>
      </w:pPr>
      <w:r>
        <w:rPr>
          <w:rFonts w:ascii="Calibri" w:cs="Calibri" w:eastAsia="Calibri" w:hAnsi="Calibri"/>
          <w:i/>
          <w:iCs/>
          <w:sz w:val="21"/>
          <w:szCs w:val="21"/>
        </w:rPr>
        <w:t xml:space="preserve">Every market and volume figure above is published and cited as such. Figures that are vendor-reported, self-disclosed or modelled are labelled. Rules that could not be read at a primary source are marked unverified and are not permitted to drive any deadline in the system. All performance figures produced by this build are synthetic and are labelled as synthetic wherever they appear.</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3" w:space="6"/>
      </w:pBdr>
      <w:tabs>
        <w:tab w:val="right" w:pos="10080"/>
      </w:tabs>
      <w:spacing w:before="60"/>
    </w:pPr>
    <w:r>
      <w:rPr>
        <w:rFonts w:ascii="Calibri" w:cs="Calibri" w:eastAsia="Calibri" w:hAnsi="Calibri"/>
        <w:color w:val="666666"/>
        <w:sz w:val="17"/>
        <w:szCs w:val="17"/>
      </w:rPr>
      <w:t xml:space="preserve">Interlock — Product Requirements Document · v2.0</w:t>
    </w:r>
    <w:r>
      <w:rPr>
        <w:sz w:val="17"/>
        <w:szCs w:val="17"/>
      </w:rPr>
      <w:t xml:space="preserve">		</w:t>
    </w:r>
    <w:r>
      <w:rPr>
        <w:rFonts w:ascii="Calibri" w:cs="Calibri" w:eastAsia="Calibri" w:hAnsi="Calibri"/>
        <w:color w:val="666666"/>
        <w:sz w:val="17"/>
        <w:szCs w:val="17"/>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Interlock - Product Requirements Document v2.0</dc:title>
  <dc:creator>Sai Prathap Reddy Cheluri &amp; Lekhashree Srinath Reddy</dc:creator>
  <cp:lastModifiedBy>Un-named</cp:lastModifiedBy>
  <cp:revision>1</cp:revision>
  <dcterms:created xsi:type="dcterms:W3CDTF">2026-09-19T13:18:02.525Z</dcterms:created>
  <dcterms:modified xsi:type="dcterms:W3CDTF">2026-09-19T13:18:02.525Z</dcterms:modified>
</cp:coreProperties>
</file>

<file path=docProps/custom.xml><?xml version="1.0" encoding="utf-8"?>
<Properties xmlns="http://schemas.openxmlformats.org/officeDocument/2006/custom-properties" xmlns:vt="http://schemas.openxmlformats.org/officeDocument/2006/docPropsVTypes"/>
</file>