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REQUIREMENTS DOCUMENT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Interlock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A Cross-Institution Signal and Recall Network for US Instant Payments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Fintech Fraud Infrastructure · Pre-Settlement Interception &amp; Post-Settlement Recall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720"/>
        <w:gridCol w:w="8360"/>
      </w:tblGrid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Authors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 Prathap Reddy Cheluri &amp; Lekhashree Srinath Reddy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Two-person collaboration · joint product ownership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v1.1 — final (supersedes v1.0)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for review · build scope in Section 15 · revision note in Section 1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Fraud Operations, Payments Product, Financial Crime / BSA-AML, Information Security, Legal &amp; Regulatory, Network Partnerships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 release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v1.0 — signal schema, routing hub, recall service and four-institution testbed within 12 weeks of approval (Section 13)</w:t>
            </w:r>
          </w:p>
        </w:tc>
      </w:tr>
      <w:tr>
        <w:trPr>
          <w:cantSplit/>
          <w:tblHeader w:val="false"/>
        </w:trPr>
        <w:tc>
          <w:tcPr>
            <w:tcW w:type="dxa" w:w="1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Priority</w:t>
            </w:r>
          </w:p>
        </w:tc>
        <w:tc>
          <w:tcPr>
            <w:tcW w:type="dxa" w:w="8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keepNext/>
        <w:spacing w:after="120" w:before="260" w:line="300"/>
        <w:outlineLvl w:val="1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Contents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Section titles below are live links.</w:t>
      </w:r>
    </w:p>
    <w:p>
      <w:pPr>
        <w:spacing w:after="90" w:line="300"/>
      </w:pPr>
      <w:hyperlink w:history="1" w:anchor="s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1. Summary</w:t>
        </w:r>
      </w:hyperlink>
    </w:p>
    <w:p>
      <w:pPr>
        <w:spacing w:after="90" w:line="300"/>
      </w:pPr>
      <w:hyperlink w:history="1" w:anchor="s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2. The Problem</w:t>
        </w:r>
      </w:hyperlink>
    </w:p>
    <w:p>
      <w:pPr>
        <w:spacing w:after="90" w:line="300"/>
      </w:pPr>
      <w:hyperlink w:history="1" w:anchor="s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3. Goals and Non-Goals</w:t>
        </w:r>
      </w:hyperlink>
    </w:p>
    <w:p>
      <w:pPr>
        <w:spacing w:after="90" w:line="300"/>
      </w:pPr>
      <w:hyperlink w:history="1" w:anchor="s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4. Who This Is For</w:t>
        </w:r>
      </w:hyperlink>
    </w:p>
    <w:p>
      <w:pPr>
        <w:spacing w:after="90" w:line="300"/>
      </w:pPr>
      <w:hyperlink w:history="1" w:anchor="s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5. How It Works</w:t>
        </w:r>
      </w:hyperlink>
    </w:p>
    <w:p>
      <w:pPr>
        <w:spacing w:after="90" w:line="300"/>
      </w:pPr>
      <w:hyperlink w:history="1" w:anchor="s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6. Requirements</w:t>
        </w:r>
      </w:hyperlink>
    </w:p>
    <w:p>
      <w:pPr>
        <w:spacing w:after="90" w:line="300"/>
      </w:pPr>
      <w:hyperlink w:history="1" w:anchor="s7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7. Scope, Assumptions and Dependencies</w:t>
        </w:r>
      </w:hyperlink>
    </w:p>
    <w:p>
      <w:pPr>
        <w:spacing w:after="90" w:line="300"/>
      </w:pPr>
      <w:hyperlink w:history="1" w:anchor="s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8. Alternatives Considered</w:t>
        </w:r>
      </w:hyperlink>
    </w:p>
    <w:p>
      <w:pPr>
        <w:spacing w:after="90" w:line="300"/>
      </w:pPr>
      <w:hyperlink w:history="1" w:anchor="s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9. Success Metrics</w:t>
        </w:r>
      </w:hyperlink>
    </w:p>
    <w:p>
      <w:pPr>
        <w:spacing w:after="90" w:line="300"/>
      </w:pPr>
      <w:hyperlink w:history="1" w:anchor="s1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10. How We Will Prove It Works</w:t>
        </w:r>
      </w:hyperlink>
    </w:p>
    <w:p>
      <w:pPr>
        <w:spacing w:after="90" w:line="300"/>
      </w:pPr>
      <w:hyperlink w:history="1" w:anchor="s1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11. Business Case (Illustrative)</w:t>
        </w:r>
      </w:hyperlink>
    </w:p>
    <w:p>
      <w:pPr>
        <w:spacing w:after="90" w:line="300"/>
      </w:pPr>
      <w:hyperlink w:history="1" w:anchor="s1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12. Risks</w:t>
        </w:r>
      </w:hyperlink>
    </w:p>
    <w:p>
      <w:pPr>
        <w:spacing w:after="90" w:line="300"/>
      </w:pPr>
      <w:hyperlink w:history="1" w:anchor="s1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13. Rollout</w:t>
        </w:r>
      </w:hyperlink>
    </w:p>
    <w:p>
      <w:pPr>
        <w:spacing w:after="90" w:line="300"/>
      </w:pPr>
      <w:hyperlink w:history="1" w:anchor="s1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14. Open Questions</w:t>
        </w:r>
      </w:hyperlink>
    </w:p>
    <w:p>
      <w:pPr>
        <w:spacing w:after="90" w:line="300"/>
      </w:pPr>
      <w:hyperlink w:history="1" w:anchor="s1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15. v1.0 Demo Scope</w:t>
        </w:r>
      </w:hyperlink>
    </w:p>
    <w:p>
      <w:pPr>
        <w:spacing w:after="90" w:line="300"/>
      </w:pPr>
      <w:hyperlink w:history="1" w:anchor="s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Appendix A — Data Model and Events</w:t>
        </w:r>
      </w:hyperlink>
    </w:p>
    <w:p>
      <w:pPr>
        <w:spacing w:after="90" w:line="300"/>
      </w:pPr>
      <w:hyperlink w:history="1" w:anchor="s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Appendix B — Edge Cases</w:t>
        </w:r>
      </w:hyperlink>
    </w:p>
    <w:p>
      <w:pPr>
        <w:spacing w:after="90" w:line="300"/>
      </w:pPr>
      <w:hyperlink w:history="1" w:anchor="s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Appendix C — Sources</w:t>
        </w:r>
      </w:hyperlink>
    </w:p>
    <w:p>
      <w:r>
        <w:br w:type="page"/>
      </w:r>
    </w:p>
    <w:p>
      <w:pPr>
        <w:keepNext/>
        <w:keepLines/>
        <w:spacing w:after="120" w:before="260" w:line="300"/>
        <w:outlineLvl w:val="0"/>
      </w:pPr>
      <w:bookmarkStart w:name="s1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Summary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customer is talked into sending money. Their institution sees an ordinary account making an ordinary payment on a rail that settles in seconds and cannot be reversed. The institution on the receiving end may already have strong evidence that the destination account is a mule — opened eleven days ago, fourteen first-time inbound transfers today, funds swept out within minutes each time. Neither can tell the other in the second that decides the outcome. In 2025 Americans reported $15.9 billion in fraud losses while roughly $2.3 trillion settled across the two US instant-payment networks.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Interlock is not another fraud-detection model. It is the shared language institutions use to pass a risk signal to each other before settlement, and the standard path for freezing and recalling funds after it. An open schema lets any institution’s existing fraud engine — in-house, BioCatch, Feedzai, NICE Actimize — publish and consume signals without replacing anything. The hub routes and logs; it never scores.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we are asking for:</w:t>
      </w:r>
      <w:r>
        <w:rPr>
          <w:rFonts w:ascii="Calibri" w:cs="Calibri" w:eastAsia="Calibri" w:hAnsi="Calibri"/>
          <w:sz w:val="21"/>
          <w:szCs w:val="21"/>
        </w:rPr>
        <w:t xml:space="preserve"> approval of the v1.0 scope (Section 3), the neutral-operator architecture (Section 5), and the freeze-and-recall protocol as a P0 requirement (Section 6) before any institution is asked to connect a production rail.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outcome:</w:t>
      </w:r>
      <w:r>
        <w:rPr>
          <w:rFonts w:ascii="Calibri" w:cs="Calibri" w:eastAsia="Calibri" w:hAnsi="Calibri"/>
          <w:sz w:val="21"/>
          <w:szCs w:val="21"/>
        </w:rPr>
        <w:t xml:space="preserve"> 60–70% of fraudulent payment value intercepted before settlement on the benchmark testbed, a false-positive ratio at or under 15:1, signal-lookup p99 under 300ms, and zero unlogged network decisions — all measured on a versioned, re-runnable evaluation set (Section 9).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in v1:</w:t>
      </w:r>
      <w:r>
        <w:rPr>
          <w:rFonts w:ascii="Calibri" w:cs="Calibri" w:eastAsia="Calibri" w:hAnsi="Calibri"/>
          <w:sz w:val="21"/>
          <w:szCs w:val="21"/>
        </w:rPr>
        <w:t xml:space="preserve"> cross-border corridors, card and ACH rails, consortium governance, and automated fund seizure without institution confirmation. Segment fairness analysis is included and scoped, not deferred (FR-10).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Build:</w:t>
      </w:r>
      <w:r>
        <w:rPr>
          <w:rFonts w:ascii="Calibri" w:cs="Calibri" w:eastAsia="Calibri" w:hAnsi="Calibri"/>
          <w:sz w:val="21"/>
          <w:szCs w:val="21"/>
        </w:rPr>
        <w:t xml:space="preserve"> four synthetic institutions, the typed signal schema, the routing hub with audit chain, the recall service with SLA state machine, analyst consoles for both sides, and a benchmark report scored against a real 300ms budget (Section 15).</w:t>
      </w: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What changed in v1.1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Four targets were revised downward or restated after benchmarking them against published industry figures rather than against what sounded ambitious. The v1.0 interception target of 80% sat above what Feedzai’s 2026 benchmarking calls best-in-class, so it is now 60–70% by value. The false-positive guardrail was a 3% rate, which is roughly thirty times the intervention rate the same benchmarking reports as normal, so it is now expressed as a ratio and paired with an explicit intervention-rate ceiling. Testbed prevalence is now generated at two settings rather than one, because a single inflated setting cannot show how the network behaves at the rate institutions actually see. And the 300ms latency budget, previously asserted, is now stated as a fraction of the five-second window the rails themselves allow. Every other section is unchanged from v1.0.</w:t>
      </w:r>
    </w:p>
    <w:p>
      <w:pPr>
        <w:keepNext/>
        <w:keepLines/>
        <w:spacing w:after="120" w:before="260" w:line="300"/>
        <w:outlineLvl w:val="0"/>
      </w:pPr>
      <w:bookmarkStart w:name="s2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The Problem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credit union member is scammed and sends $5,400. By the time the member realises, the funds have settled, been swept to a second institution, and left the system. The fraud analyst calls the receiving institution’s general line, is transferred twice, and emails a PDF form to an address found on a website. Nothing is frozen. Two weeks later a different member pays the same destination account, because no mechanism existed to mark it.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Each side holds exactly the half of the picture the other one needs. The sending side has the manipulation context — urgency, a first-time payee, an unusual amount — but no view of the destination account. The receiving side has the account behaviour but no idea the inbound payment is the product of a scam. Neither has a route to hand it over, and in the United States no regulation requires them to.</w:t>
      </w: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Why the problem is getting worse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080"/>
        <w:gridCol w:w="3800"/>
        <w:gridCol w:w="4200"/>
      </w:tblGrid>
      <w:tr>
        <w:trPr>
          <w:cantSplit/>
          <w:tblHeader/>
        </w:trPr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Force</w:t>
            </w:r>
          </w:p>
        </w:tc>
        <w:tc>
          <w:tcPr>
            <w:tcW w:type="dxa" w:w="3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4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Irrevocable volume is compounding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FedNow settled value grew 460% in 2025 to $853.4 billion with the cap raised to $10 million; RTP processed more than $1.3 trillion.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window to stop a payment collapsed from days to seconds, on a base growing at triple-digit rates.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payment size is climbing</w:t>
            </w:r>
          </w:p>
        </w:tc>
        <w:tc>
          <w:tcPr>
            <w:tcW w:type="dxa" w:w="3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FedNow’s average settled payment rose from $25,376 in 2024 to $101,435 in 2025.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cost of one missed interception is rising faster than volume itself.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Exposure sits with the least-equipped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Community banks and credit unions are more than 95% of FedNow participants.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institutions most likely to hold a mule account are least likely to detect one.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regulatory forcing function</w:t>
            </w:r>
          </w:p>
        </w:tc>
        <w:tc>
          <w:tcPr>
            <w:tcW w:type="dxa" w:w="3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CFPB dismissed its Zelle fraud suit with prejudice in March 2025 and has not advanced a reimbursement rule since.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Cooperation must be earned commercially, which is why the gap has persisted.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Why existing approaches under-deliver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Name-matching is identity verification, not behaviour detection.</w:t>
      </w:r>
      <w:r>
        <w:rPr>
          <w:rFonts w:ascii="Calibri" w:cs="Calibri" w:eastAsia="Calibri" w:hAnsi="Calibri"/>
          <w:sz w:val="21"/>
          <w:szCs w:val="21"/>
        </w:rPr>
        <w:t xml:space="preserve"> A mule account passes a confirmation-of-payee check trivially, because a real person was recruited to open it.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Closed vendor consortiums recreate the fragmentation they solve.</w:t>
      </w:r>
      <w:r>
        <w:rPr>
          <w:rFonts w:ascii="Calibri" w:cs="Calibri" w:eastAsia="Calibri" w:hAnsi="Calibri"/>
          <w:sz w:val="21"/>
          <w:szCs w:val="21"/>
        </w:rPr>
        <w:t xml:space="preserve"> BioCatch Trust Network (Australia, November 2024; later Argentina) and Mastercard Consumer Fraud Risk on the UK’s Vocalink network both do real-time receiving-account scoring well. Neither interoperates with the other, so an institution on one cannot hear an institution on the other. Both are also proven somewhere other than here: as of this writing neither has published a US deployment result, so a US institution evaluating either is reasoning from foreign-market evidence.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Nobody publishes how well any of it works.</w:t>
      </w:r>
      <w:r>
        <w:rPr>
          <w:rFonts w:ascii="Calibri" w:cs="Calibri" w:eastAsia="Calibri" w:hAnsi="Calibri"/>
          <w:sz w:val="21"/>
          <w:szCs w:val="21"/>
        </w:rPr>
        <w:t xml:space="preserve"> No vendor — not BioCatch, Feedzai, Featurespace, NICE Actimize or Mastercard — publishes precision, recall or a false-positive figure for mule detection with a disclosed method. Neither the Federal Reserve nor The Clearing House publishes a fraud rate for FedNow or RTP at all. An institution choosing a fraud network today cannot compare two vendors on any common measure, which is a second-order effect of the same fragmentation and one a published schema and a reproducible benchmark directly address.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Nobody standardised what happens after settlement.</w:t>
      </w:r>
      <w:r>
        <w:rPr>
          <w:rFonts w:ascii="Calibri" w:cs="Calibri" w:eastAsia="Calibri" w:hAnsi="Calibri"/>
          <w:sz w:val="21"/>
          <w:szCs w:val="21"/>
        </w:rPr>
        <w:t xml:space="preserve"> On a rail clearing in seconds, most fraud is discovered post-settlement — and recovery is a phone call to a counterparty chosen from more than 1,800 FedNow and roughly 1,200 RTP participants, with no shared format, no service-level expectation and no audit trail.</w:t>
      </w:r>
    </w:p>
    <w:p>
      <w:pPr>
        <w:keepNext/>
        <w:keepLines/>
        <w:spacing w:after="120" w:before="260" w:line="300"/>
        <w:outlineLvl w:val="0"/>
      </w:pPr>
      <w:bookmarkStart w:name="s3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Goals and Non-Goals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638"/>
        <w:gridCol w:w="4211"/>
        <w:gridCol w:w="5231"/>
      </w:tblGrid>
      <w:tr>
        <w:trPr>
          <w:cantSplit/>
          <w:tblHeader/>
        </w:trPr>
        <w:tc>
          <w:tcPr>
            <w:tcW w:type="dxa" w:w="638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11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5231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Measured by</w:t>
            </w:r>
          </w:p>
        </w:tc>
      </w:tr>
      <w:tr>
        <w:trPr>
          <w:cantSplit/>
          <w:tblHeader w:val="false"/>
        </w:trPr>
        <w:tc>
          <w:tcPr>
            <w:tcW w:type="dxa" w:w="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G1</w:t>
            </w:r>
          </w:p>
        </w:tc>
        <w:tc>
          <w:tcPr>
            <w:tcW w:type="dxa" w:w="42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 fraudulent payments before settlement, while the funds still exist.</w:t>
            </w:r>
          </w:p>
        </w:tc>
        <w:tc>
          <w:tcPr>
            <w:tcW w:type="dxa" w:w="523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60–70% of fraudulent payment value held or warned pre-settlement, against a published industry benchmark (Section 9).</w:t>
            </w:r>
          </w:p>
        </w:tc>
      </w:tr>
      <w:tr>
        <w:trPr>
          <w:cantSplit/>
          <w:tblHeader w:val="false"/>
        </w:trPr>
        <w:tc>
          <w:tcPr>
            <w:tcW w:type="dxa" w:w="638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G2</w:t>
            </w:r>
          </w:p>
        </w:tc>
        <w:tc>
          <w:tcPr>
            <w:tcW w:type="dxa" w:w="421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 a destination-account signal without breaking the real-time experience.</w:t>
            </w:r>
          </w:p>
        </w:tc>
        <w:tc>
          <w:tcPr>
            <w:tcW w:type="dxa" w:w="523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Signal-lookup p99 under 300ms; 100% of payments receive a signal or explicit unavailable.</w:t>
            </w:r>
          </w:p>
        </w:tc>
      </w:tr>
      <w:tr>
        <w:trPr>
          <w:cantSplit/>
          <w:tblHeader w:val="false"/>
        </w:trPr>
        <w:tc>
          <w:tcPr>
            <w:tcW w:type="dxa" w:w="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G3</w:t>
            </w:r>
          </w:p>
        </w:tc>
        <w:tc>
          <w:tcPr>
            <w:tcW w:type="dxa" w:w="42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 both sides a standard, time-bound path to freeze and recall funds after settlement.</w:t>
            </w:r>
          </w:p>
        </w:tc>
        <w:tc>
          <w:tcPr>
            <w:tcW w:type="dxa" w:w="523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 of recall requests carry a machine-readable disposition and SLA timestamp.</w:t>
            </w:r>
          </w:p>
        </w:tc>
      </w:tr>
      <w:tr>
        <w:trPr>
          <w:cantSplit/>
          <w:tblHeader w:val="false"/>
        </w:trPr>
        <w:tc>
          <w:tcPr>
            <w:tcW w:type="dxa" w:w="638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G4</w:t>
            </w:r>
          </w:p>
        </w:tc>
        <w:tc>
          <w:tcPr>
            <w:tcW w:type="dxa" w:w="421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 any institution participate without replacing its existing fraud engine.</w:t>
            </w:r>
          </w:p>
        </w:tc>
        <w:tc>
          <w:tcPr>
            <w:tcW w:type="dxa" w:w="523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structurally different engines integrated through the adapter layer (FR-3).</w:t>
            </w:r>
          </w:p>
        </w:tc>
      </w:tr>
      <w:tr>
        <w:trPr>
          <w:cantSplit/>
          <w:tblHeader w:val="false"/>
        </w:trPr>
        <w:tc>
          <w:tcPr>
            <w:tcW w:type="dxa" w:w="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G5</w:t>
            </w:r>
          </w:p>
        </w:tc>
        <w:tc>
          <w:tcPr>
            <w:tcW w:type="dxa" w:w="42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Produce a tamper-evident record for regulatory reconstruction.</w:t>
            </w:r>
          </w:p>
        </w:tc>
        <w:tc>
          <w:tcPr>
            <w:tcW w:type="dxa" w:w="523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Hash-chained entry for 100% of network events; integrity independently verifiable.</w:t>
            </w:r>
          </w:p>
        </w:tc>
      </w:tr>
      <w:tr>
        <w:trPr>
          <w:cantSplit/>
          <w:tblHeader w:val="false"/>
        </w:trPr>
        <w:tc>
          <w:tcPr>
            <w:tcW w:type="dxa" w:w="638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G6</w:t>
            </w:r>
          </w:p>
        </w:tc>
        <w:tc>
          <w:tcPr>
            <w:tcW w:type="dxa" w:w="421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Ensure interception does not fall disproportionately on customers who look statistically like mules.</w:t>
            </w:r>
          </w:p>
        </w:tc>
        <w:tc>
          <w:tcPr>
            <w:tcW w:type="dxa" w:w="5231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False-positive rate reported by account segment each benchmark run; gap tracked as a named guardrail.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Non-goals for v1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Non-goal</w:t>
            </w:r>
          </w:p>
        </w:tc>
        <w:tc>
          <w:tcPr>
            <w:tcW w:type="dxa" w:w="68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Building a competing fraud-detection model</w:t>
            </w:r>
          </w:p>
        </w:tc>
        <w:tc>
          <w:tcPr>
            <w:tcW w:type="dxa" w:w="6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Detection is contested by well-funded incumbents. The scoring service exists only to give the testbed something to route; the product is the schema, hub and recall path.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Automated seizure without institution confirmation</w:t>
            </w:r>
          </w:p>
        </w:tc>
        <w:tc>
          <w:tcPr>
            <w:tcW w:type="dxa" w:w="68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 outright, not deferred (Section 8). Moving another institution’s funds without a decision on that side is unadoptable and probably unlawful.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Cross-border corridors, card and ACH rails</w:t>
            </w:r>
          </w:p>
        </w:tc>
        <w:tc>
          <w:tcPr>
            <w:tcW w:type="dxa" w:w="6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Correspondent banking and sanctions screening are a v2 architecture question; card and ACH already have established return mechanisms.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consortium governance charter</w:t>
            </w:r>
          </w:p>
        </w:tc>
        <w:tc>
          <w:tcPr>
            <w:tcW w:type="dxa" w:w="68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Named as a dependency and an open question (Section 14). Who operates a neutral hub is a legal and commercial negotiation, not an engineering deliverable.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Replacing the case-management system</w:t>
            </w:r>
          </w:p>
        </w:tc>
        <w:tc>
          <w:tcPr>
            <w:tcW w:type="dxa" w:w="6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Interlock delivers an embedded panel plus one new recall workspace. Asking a fraud team to work a second queue in a second tool is how the product fails at adoption.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4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Who This Is For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320"/>
        <w:gridCol w:w="3720"/>
        <w:gridCol w:w="4040"/>
      </w:tblGrid>
      <w:tr>
        <w:trPr>
          <w:cantSplit/>
          <w:tblHeader/>
        </w:trPr>
        <w:tc>
          <w:tcPr>
            <w:tcW w:type="dxa" w:w="23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7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their words</w:t>
            </w:r>
          </w:p>
        </w:tc>
        <w:tc>
          <w:tcPr>
            <w:tcW w:type="dxa" w:w="40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need</w:t>
            </w:r>
          </w:p>
        </w:tc>
      </w:tr>
      <w:tr>
        <w:trPr>
          <w:cantSplit/>
          <w:tblHeader w:val="false"/>
        </w:trPr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Sending-institution fraud analyst (primary)</w:t>
            </w:r>
          </w:p>
        </w:tc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“I have four seconds and a queue of ninety. I need to know if this destination account is bad, not a number I have to interpret.”</w:t>
            </w:r>
          </w:p>
        </w:tc>
        <w:tc>
          <w:tcPr>
            <w:tcW w:type="dxa" w:w="4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signal with a stated reason, inside the console they already use, fast enough not to slow the queue.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Receiving-institution fraud analyst (primary)</w:t>
            </w:r>
          </w:p>
        </w:tc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“I find out an account is a mule when three banks call me in the same week. By then it has been emptied.”</w:t>
            </w:r>
          </w:p>
        </w:tc>
        <w:tc>
          <w:tcPr>
            <w:tcW w:type="dxa" w:w="40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Inbound visibility — who flagged this account, how often, in what window — and a way to act on a freeze request without inventing a process.</w:t>
            </w:r>
          </w:p>
        </w:tc>
      </w:tr>
      <w:tr>
        <w:trPr>
          <w:cantSplit/>
          <w:tblHeader w:val="false"/>
        </w:trPr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Fraud operations lead (economic buyer)</w:t>
            </w:r>
          </w:p>
        </w:tc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“I can justify spend that reduces loss. I cannot justify a science project.”</w:t>
            </w:r>
          </w:p>
        </w:tc>
        <w:tc>
          <w:tcPr>
            <w:tcW w:type="dxa" w:w="4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Interception against loss avoided, a false-positive number defensible to the retail business, and a credible answer on who else is on the network.</w:t>
            </w:r>
          </w:p>
        </w:tc>
      </w:tr>
      <w:tr>
        <w:trPr>
          <w:cantSplit/>
          <w:tblHeader w:val="false"/>
        </w:trPr>
        <w:tc>
          <w:tcPr>
            <w:tcW w:type="dxa" w:w="2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 product manager (secondary)</w:t>
            </w:r>
          </w:p>
        </w:tc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“We launched instant payments to be instant. If your check adds half a second I will route around it.”</w:t>
            </w:r>
          </w:p>
        </w:tc>
        <w:tc>
          <w:tcPr>
            <w:tcW w:type="dxa" w:w="40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hard latency budget, graceful degradation when the network is unreachable, and no change to the happy path.</w:t>
            </w:r>
          </w:p>
        </w:tc>
      </w:tr>
      <w:tr>
        <w:trPr>
          <w:cantSplit/>
          <w:tblHeader w:val="false"/>
        </w:trPr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Mule-network operator (threat model)</w:t>
            </w:r>
          </w:p>
        </w:tc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“If each bank sees only its own slice, I can run one account against forty institutions before anyone connects them.”</w:t>
            </w:r>
          </w:p>
        </w:tc>
        <w:tc>
          <w:tcPr>
            <w:tcW w:type="dxa" w:w="4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— the schema, hub and recall path exist specifically to deny this persona.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Key user stories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sending-side analyst, I want the destination account’s signal and its stated reason inside my existing case view, so that I can decide without opening a second system.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sending-side analyst, I want a signal that says unavailable rather than low risk when the network cannot answer, so that I am never falsely reassured.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receiving-side analyst, I want to see that four senders flagged one of my accounts in the last hour, so that I can investigate before it is emptied.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receiving-side analyst, I want an inbound freeze request to arrive as a structured case with an SLA clock, so that it does not sit in a shared mailbox.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fraud operations lead, I want interception measured in dollars stopped before settlement, so that I can compare the network against the loss line it is meant to reduce.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a regulatory liaison, I want every signal, decision and recall written to a tamper-evident log, so that I can reconstruct a specific payment on demand for an examiner.</w:t>
      </w:r>
    </w:p>
    <w:p>
      <w:pPr>
        <w:keepNext/>
        <w:keepLines/>
        <w:spacing w:after="120" w:before="260" w:line="300"/>
        <w:outlineLvl w:val="0"/>
      </w:pPr>
      <w:bookmarkStart w:name="s5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How It Works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Three layers, deliberately separated so that only the middle one is novel. The scoring service is plumbing — every participating institution already has a better one. The consoles are conventional fraud-operations UI. The network — schema, neutral hub, recall protocol, audit chain — is the product.</w:t>
      </w: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The neutral-hub architecture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hub routes and logs. It does not score, rank, or form an opinion about any account. This is an adoption constraint before it is a technical one: no institution will route its customers’ behavioural signals through infrastructure operated by a competitor or a competitor’s vendor. A hub that scored would be a fourth detection vendor, and the fragmentation problem in Section 2 would simply acquire another participant.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480"/>
        <w:gridCol w:w="4480"/>
        <w:gridCol w:w="4120"/>
      </w:tblGrid>
      <w:tr>
        <w:trPr>
          <w:cantSplit/>
          <w:tblHeader/>
        </w:trPr>
        <w:tc>
          <w:tcPr>
            <w:tcW w:type="dxa" w:w="14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4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1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owns it</w:t>
            </w:r>
          </w:p>
        </w:tc>
      </w:tr>
      <w:tr>
        <w:trPr>
          <w:cantSplit/>
          <w:tblHeader w:val="false"/>
        </w:trPr>
        <w:tc>
          <w:tcPr>
            <w:tcW w:type="dxa" w:w="1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Adapter</w:t>
            </w:r>
          </w:p>
        </w:tc>
        <w:tc>
          <w:tcPr>
            <w:tcW w:type="dxa" w:w="4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Translates an institution’s native engine output into the Interlock schema, and inbound signals back into its case system.</w:t>
            </w:r>
          </w:p>
        </w:tc>
        <w:tc>
          <w:tcPr>
            <w:tcW w:type="dxa" w:w="4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institution, using a published SDK. Two reference adapters ship with v1.0.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</w:t>
            </w:r>
          </w:p>
        </w:tc>
        <w:tc>
          <w:tcPr>
            <w:tcW w:type="dxa" w:w="4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Authenticates participants, routes requests to the destination institution, enforces the latency budget, writes every event to the audit chain.</w:t>
            </w:r>
          </w:p>
        </w:tc>
        <w:tc>
          <w:tcPr>
            <w:tcW w:type="dxa" w:w="41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neutral operator — a payment system operator or consortium entity, never a detection vendor (Section 14).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 service</w:t>
            </w:r>
          </w:p>
        </w:tc>
        <w:tc>
          <w:tcPr>
            <w:tcW w:type="dxa" w:w="4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Carries a structured freeze-or-return request, tracks the SLA clock, records evidence from both sides, resolves to a stated disposition.</w:t>
            </w:r>
          </w:p>
        </w:tc>
        <w:tc>
          <w:tcPr>
            <w:tcW w:type="dxa" w:w="4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neutral operator; dispositions executed by the receiving institution’s own staff.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The two moments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080"/>
        <w:gridCol w:w="2400"/>
        <w:gridCol w:w="5600"/>
      </w:tblGrid>
      <w:tr>
        <w:trPr>
          <w:cantSplit/>
          <w:tblHeader/>
        </w:trPr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24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Pre-settlement signal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Between initiation and settlement, inside a hard 300ms budget.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sending institution queries the destination account’s hashed identifier. The receiving institution’s own engine returns a risk band, contributing dimensions and a validity window. The sending institution decides: pass, warn, or hold. Interlock never makes that decision.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Post-settlement recall</w:t>
            </w:r>
          </w:p>
        </w:tc>
        <w:tc>
          <w:tcPr>
            <w:tcW w:type="dxa" w:w="24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 suspicion until the SLA expires.</w:t>
            </w:r>
          </w:p>
        </w:tc>
        <w:tc>
          <w:tcPr>
            <w:tcW w:type="dxa" w:w="56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sending institution raises a structured request carrying case reference, amount, claimed scam category and evidence. The receiving institution receives a case with a running clock and resolves it to one of a fixed disposition set. Both sides and the audit chain see identical state.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The signal dimensions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Five dimensions the receiving institution may contribute. Each is a category rather than a required field, so an institution contributes what its engine actually produces instead of being forced into a model shape it does not have.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00"/>
        <w:gridCol w:w="2080"/>
        <w:gridCol w:w="2840"/>
        <w:gridCol w:w="4860"/>
      </w:tblGrid>
      <w:tr>
        <w:trPr>
          <w:cantSplit/>
          <w:tblHeader/>
        </w:trPr>
        <w:tc>
          <w:tcPr>
            <w:tcW w:type="dxa" w:w="3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indicates</w:t>
            </w:r>
          </w:p>
        </w:tc>
        <w:tc>
          <w:tcPr>
            <w:tcW w:type="dxa" w:w="486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is in the schema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tenure</w:t>
            </w:r>
          </w:p>
        </w:tc>
        <w:tc>
          <w:tcPr>
            <w:tcW w:type="dxa" w:w="2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opened recently relative to the institution’s population.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Recruited mules are disproportionately new, and tenure is cheap to compute at any maturity level.</w:t>
            </w:r>
          </w:p>
        </w:tc>
      </w:tr>
      <w:tr>
        <w:trPr>
          <w:cantSplit/>
          <w:tblHeader w:val="false"/>
        </w:trPr>
        <w:tc>
          <w:tcPr>
            <w:tcW w:type="dxa" w:w="3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Inbound velocity anomaly</w:t>
            </w:r>
          </w:p>
        </w:tc>
        <w:tc>
          <w:tcPr>
            <w:tcW w:type="dxa" w:w="28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sharp rise in first-time inbound transfers in a short window.</w:t>
            </w:r>
          </w:p>
        </w:tc>
        <w:tc>
          <w:tcPr>
            <w:tcW w:type="dxa" w:w="48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signature of one destination account being circulated among multiple victims at once.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Onward-movement pattern</w:t>
            </w:r>
          </w:p>
        </w:tc>
        <w:tc>
          <w:tcPr>
            <w:tcW w:type="dxa" w:w="2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Funds swept out shortly after arrival, often to a further institution.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Separates a mule account from a legitimately busy one; the highest-precision dimension in the testbed.</w:t>
            </w:r>
          </w:p>
        </w:tc>
      </w:tr>
      <w:tr>
        <w:trPr>
          <w:cantSplit/>
          <w:tblHeader w:val="false"/>
        </w:trPr>
        <w:tc>
          <w:tcPr>
            <w:tcW w:type="dxa" w:w="3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 network flags</w:t>
            </w:r>
          </w:p>
        </w:tc>
        <w:tc>
          <w:tcPr>
            <w:tcW w:type="dxa" w:w="28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account was flagged by other senders inside a stated window.</w:t>
            </w:r>
          </w:p>
        </w:tc>
        <w:tc>
          <w:tcPr>
            <w:tcW w:type="dxa" w:w="48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only dimension that does not exist without a network — the direct measure of network value.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Sending-side context (reverse)</w:t>
            </w:r>
          </w:p>
        </w:tc>
        <w:tc>
          <w:tcPr>
            <w:tcW w:type="dxa" w:w="2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First-time payee, anomalous amount, claimed scam category.</w:t>
            </w:r>
          </w:p>
        </w:tc>
        <w:tc>
          <w:tcPr>
            <w:tcW w:type="dxa" w:w="4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Makes the exchange bidirectional: the receiving side learns why an inbound payment is suspect, which it cannot derive alone.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Why recall is the hard part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Signal exchange is a lookup with a latency budget. Recall is a distributed workflow between two institutions with no contract, differing legal advice and competing incentives — the sending side wants the funds back; the receiving side has a customer who may be an account-takeover victim rather than a criminal. A protocol assuming good faith and instant compliance will not survive its first disputed case. Interlock therefore treats recall as a state machine with named dispositions, a stated SLA and evidence from both sides. The receiving institution always retains the decision; what the protocol removes is ambiguity about what was asked, when, on what basis, and what was decided.</w:t>
      </w:r>
    </w:p>
    <w:p>
      <w:pPr>
        <w:keepNext/>
        <w:keepLines/>
        <w:spacing w:after="120" w:before="260" w:line="300"/>
        <w:outlineLvl w:val="0"/>
      </w:pPr>
      <w:bookmarkStart w:name="s6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Requirements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P0 is required for pilot; P1 for full rollout. Each requirement carries a pass/fail test so that Fraud Operations, Payments and Engineering can verify it directly rather than negotiate over it.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672"/>
        <w:gridCol w:w="2965"/>
        <w:gridCol w:w="514"/>
        <w:gridCol w:w="5929"/>
      </w:tblGrid>
      <w:tr>
        <w:trPr>
          <w:cantSplit/>
          <w:tblHeader/>
        </w:trPr>
        <w:tc>
          <w:tcPr>
            <w:tcW w:type="dxa" w:w="672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65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14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5929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we test it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Versioned, typed signal schema with hashed account identifiers and no PII crossing institutional boundaries.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validates against its specification; an automated check confirms no PII field is reachable in any serialised message; version negotiation succeeds across minor versions.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FR-2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 hub that authenticates participants, routes requests and responds inside the latency budget.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p99 under 300ms over 10,000 testbed requests; 100% of requests return a signal or an explicit unavailable response.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FR-3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Adapter layer letting an institution publish and consume signals from its existing engine unchanged.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structurally different reference engines — one rules-based, one model-based — both produce valid schema output.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FR-4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Freeze-and-recall protocol: structured request with case reference, amount, claimed category and evidence, resolving to a fixed disposition set within a stated SLA.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request reaches a terminal disposition or explicit SLA-expiry state; no request closes without a recorded disposition; transitions covered by tests.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FR-5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Reverse-direction context: the receiving institution sees sending-side flags on inbound payments to its own accounts.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Receiving console shows inbound flag count and window; the count reconciles exactly against hub-side request logs.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FR-6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Append-only, hash-chained audit log covering every request, response, decision, recall and disposition.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edit or deletion is detectable by the verification script; entries exist for 100% of events, reconciled against hub counts.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FR-7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Graceful degradation: when the hub is unreachable or over budget, the payment proceeds on the institution’s own score with a logged unavailable state.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Simulated outage and simulated timeout both produce a completed payment plus an unavailable audit entry — never a block, never a silent low-risk default.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FR-8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Explanation strings: every risk band is accompanied by its contributing dimensions in human-readable form.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console surface displays a band without at least one contributing dimension; strings render for every dimension combination in the test set.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FR-9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 report against the labeled testbed: interception rate, false-positive rate and latency by dimension.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reproducible against a frozen snapshot; results match within a stated tolerance on re-run; both prevalence arms reported side by side, never one alone.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FR-10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 fairness analysis: false-positive rate by account segment, including new accounts, thin-file accounts and recurring remittance patterns.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includes per-segment false-positive rate and the highest-to-lowest gap, stated in the benchmark rather than computed only on request.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FR-11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Decision policy configuration: bands map to pass, warn or hold thresholds set independently by each institution.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Threshold change takes effect without a deployment; two testbed institutions operate different thresholds against identical signals.</w:t>
            </w:r>
          </w:p>
        </w:tc>
      </w:tr>
      <w:tr>
        <w:trPr>
          <w:cantSplit/>
          <w:tblHeader w:val="false"/>
        </w:trPr>
        <w:tc>
          <w:tcPr>
            <w:tcW w:type="dxa" w:w="672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FR-12</w:t>
            </w:r>
          </w:p>
        </w:tc>
        <w:tc>
          <w:tcPr>
            <w:tcW w:type="dxa" w:w="2965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Contribution accounting: the hub records which institutions contributed and which consumed signals, per period.</w:t>
            </w:r>
          </w:p>
        </w:tc>
        <w:tc>
          <w:tcPr>
            <w:tcW w:type="dxa" w:w="514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5929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reconciles contributed and consumed counts per participant; forms the basis of pricing in Section 11.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FR-13</w:t>
            </w:r>
          </w:p>
        </w:tc>
        <w:tc>
          <w:tcPr>
            <w:tcW w:type="dxa" w:w="296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Embedded panel: signal and explanation render inside a host case view rather than a standalone application.</w:t>
            </w:r>
          </w:p>
        </w:tc>
        <w:tc>
          <w:tcPr>
            <w:tcW w:type="dxa" w:w="5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592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renders within a reference host page and passes state through without a separate login.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Non-functional requirements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480"/>
        <w:gridCol w:w="8600"/>
      </w:tblGrid>
      <w:tr>
        <w:trPr>
          <w:cantSplit/>
          <w:tblHeader/>
        </w:trPr>
        <w:tc>
          <w:tcPr>
            <w:tcW w:type="dxa" w:w="14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6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1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Latency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 lookup p99 under 300ms end to end, roughly 6% of the five-second accept-or-reject window FedNow and RTP both require of a receiving participant. The budget is a hard constraint: exceeding it returns unavailable rather than a late answer. Neither rail publishes a sub-budget for fraud scoring, so the remaining window is left for sanctions screening and core-banking calls.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</w:t>
            </w:r>
          </w:p>
        </w:tc>
        <w:tc>
          <w:tcPr>
            <w:tcW w:type="dxa" w:w="86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Identifiers hashed before leaving the institution. No name, address, balance or transaction detail crosses a boundary. Signals carry bands and dimensions, not underlying features.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 unavailability degrades to local scoring and never blocks a payment. Degradation is logged and visible, never silent.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86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event is hash-chained and independently verifiable. Retention set against the longest applicable regulatory lookback (Section 14).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recall request never resolves by timeout alone. SLA expiry is itself a recorded disposition requiring acknowledgement.</w:t>
            </w:r>
          </w:p>
        </w:tc>
      </w:tr>
      <w:tr>
        <w:trPr>
          <w:cantSplit/>
          <w:tblHeader w:val="false"/>
        </w:trPr>
        <w:tc>
          <w:tcPr>
            <w:tcW w:type="dxa" w:w="1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86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benchmark (FR-9) is reproducible against a frozen snapshot so that interception and latency claims can be independently verified.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7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Scope, Assumptions and Dependencies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v1.0 scope:</w:t>
      </w:r>
      <w:r>
        <w:rPr>
          <w:rFonts w:ascii="Calibri" w:cs="Calibri" w:eastAsia="Calibri" w:hAnsi="Calibri"/>
          <w:sz w:val="21"/>
          <w:szCs w:val="21"/>
        </w:rPr>
        <w:t xml:space="preserve"> the versioned signal schema; the neutral routing hub with hash-chained audit; the adapter layer with two reference integrations; the freeze-and-recall protocol with SLA state machine; sending- and receiving-side consoles; a four-institution synthetic testbed; graceful degradation; and a benchmark report including segment fairness analysis.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000"/>
        <w:gridCol w:w="5000"/>
        <w:gridCol w:w="208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5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and when we check it</w:t>
            </w:r>
          </w:p>
        </w:tc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synthetic four-institution testbed is representative enough to validate the routing and recall design.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Compare generated amount and velocity distributions against PaySim and published case-level figures before the benchmark; document divergence rather than tuning it away.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Cheluri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300ms budget holds once a real institution’s engine sits behind the adapter.</w:t>
            </w:r>
          </w:p>
        </w:tc>
        <w:tc>
          <w:tcPr>
            <w:tcW w:type="dxa" w:w="5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 adapter overhead separately from hub overhead; if the hub alone consumes most of the budget, the architecture is revisited before any external latency claim.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Cheluri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Institutions will consume signals before they contribute them.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Validated in discovery (Section 10) and reflected in the cold-start sequencing in Section 11; if consumption-first is unacceptable to counsel, the go-to-market changes.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Reddy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Velocity signals do not concentrate false positives on remittance and thin-file customers.</w:t>
            </w:r>
          </w:p>
        </w:tc>
        <w:tc>
          <w:tcPr>
            <w:tcW w:type="dxa" w:w="5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Measured directly in FR-10 each benchmark run. Expected to fail initially; the requirement is that it is measured and disclosed, not that it passes first time.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Reddy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neutral operator is commercially available to run the hub.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question (Section 14) with no engineering workaround. If none exists, the architecture holds but the adoption path in Section 11 does not.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100"/>
      </w:pP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Dependencies:</w:t>
      </w:r>
      <w:r>
        <w:rPr>
          <w:rFonts w:ascii="Calibri" w:cs="Calibri" w:eastAsia="Calibri" w:hAnsi="Calibri"/>
          <w:sz w:val="21"/>
          <w:szCs w:val="21"/>
        </w:rPr>
        <w:t xml:space="preserve"> a public transaction dataset for distribution calibration (PaySim, IEEE-CIS); published US instant-payment volume statistics for scale realism; a hashing standard agreed across participants; and a named neutral operator for anything beyond the testbed.</w:t>
      </w:r>
    </w:p>
    <w:p>
      <w:pPr>
        <w:keepNext/>
        <w:keepLines/>
        <w:spacing w:after="120" w:before="260" w:line="300"/>
        <w:outlineLvl w:val="0"/>
      </w:pPr>
      <w:bookmarkStart w:name="s8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Alternatives Considered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320"/>
        <w:gridCol w:w="1080"/>
        <w:gridCol w:w="5680"/>
      </w:tblGrid>
      <w:tr>
        <w:trPr>
          <w:cantSplit/>
          <w:tblHeader/>
        </w:trPr>
        <w:tc>
          <w:tcPr>
            <w:tcW w:type="dxa" w:w="33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6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better mule-detection model and sell it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Detection is contested by incumbents with real behavioural data. Even a winning model leaves the coordination problem untouched.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the schema, hub and recall path; institutions keep their own detection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Turns every incumbent into a supported participant rather than a competitor, and attacks the gap neither has closed.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Have the hub compute a consolidated score from contributed signals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scoring hub is a fourth detection vendor and is commercially non-neutral, which is fatal to the adoption argument.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 routes and logs only; scoring stays with each institution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Preserves neutrality, keeps each model proprietary, and lets the network grow without anyone conceding competitive ground.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Anchor the thesis on a mandated liability split, as in the UK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US mandate exists; the CFPB dismissed its Zelle suit with prejudice in March 2025. Building on an anticipated rule would misstate the adoption problem.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Anchor on irrevocable-volume growth and voluntary adoption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Matches the actual US condition and forces the harder, more defensible go-to-market. The UK regime is cited as evidence the mechanism works, not as a US forcing function.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 the network freeze or return funds automatically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Unadoptable, and the receiving customer may be an account-takeover victim rather than a criminal.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Carry a structured request with an SLA; the receiving institution decides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Removes ambiguity without removing authority — the only version counsel will sign.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 full transaction and account detail between institutions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Unacceptable on privacy grounds, creates an antitrust surface, and is unnecessary: bands plus dimensions support the decision.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Share hashed identifiers, bands and dimensions only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Sufficient for the decision, defensible to privacy counsel, keeps each feature set proprietary.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Ship a signal network and treat recovery as out of scope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Rejected</w:t>
            </w:r>
          </w:p>
        </w:tc>
        <w:tc>
          <w:tcPr>
            <w:tcW w:type="dxa" w:w="5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a rail settling in seconds, most fraud is found after settlement. Stopping at the signal solves the easier half.</w:t>
            </w:r>
          </w:p>
        </w:tc>
      </w:tr>
      <w:tr>
        <w:trPr>
          <w:cantSplit/>
          <w:tblHeader w:val="false"/>
        </w:trPr>
        <w:tc>
          <w:tcPr>
            <w:tcW w:type="dxa" w:w="3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freeze-and-recall as a P0 requirement</w:t>
            </w:r>
          </w:p>
        </w:tc>
        <w:tc>
          <w:tcPr>
            <w:tcW w:type="dxa" w:w="1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Selected</w:t>
            </w:r>
          </w:p>
        </w:tc>
        <w:tc>
          <w:tcPr>
            <w:tcW w:type="dxa" w:w="5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the gap no existing network has closed, and the part an institution would pay for.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9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Success Metrics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680"/>
        <w:gridCol w:w="4880"/>
        <w:gridCol w:w="2520"/>
      </w:tblGrid>
      <w:tr>
        <w:trPr>
          <w:cantSplit/>
          <w:tblHeader/>
        </w:trPr>
        <w:tc>
          <w:tcPr>
            <w:tcW w:type="dxa" w:w="26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metric</w:t>
            </w:r>
          </w:p>
        </w:tc>
        <w:tc>
          <w:tcPr>
            <w:tcW w:type="dxa" w:w="48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5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Pre-settlement interception rate</w:t>
            </w:r>
          </w:p>
        </w:tc>
        <w:tc>
          <w:tcPr>
            <w:tcW w:type="dxa" w:w="4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Fraudulent payment value held or warned before settlement ÷ total labeled fraudulent value.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60–70% on the testbed</w:t>
            </w:r>
          </w:p>
        </w:tc>
      </w:tr>
      <w:tr>
        <w:trPr>
          <w:cantSplit/>
          <w:tblHeader w:val="false"/>
        </w:trPr>
        <w:tc>
          <w:tcPr>
            <w:tcW w:type="dxa" w:w="2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intercepted before settlement</w:t>
            </w:r>
          </w:p>
        </w:tc>
        <w:tc>
          <w:tcPr>
            <w:tcW w:type="dxa" w:w="48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Dollar value stopped ÷ total labeled fraudulent value. Reported separately from case count because value and volume diverge sharply.</w:t>
            </w:r>
          </w:p>
        </w:tc>
        <w:tc>
          <w:tcPr>
            <w:tcW w:type="dxa" w:w="25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each run; no fixed target on synthetic data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 resolution within SLA</w:t>
            </w:r>
          </w:p>
        </w:tc>
        <w:tc>
          <w:tcPr>
            <w:tcW w:type="dxa" w:w="4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reaching a terminal disposition inside the SLA ÷ total requests.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90% on the testbed</w:t>
            </w:r>
          </w:p>
        </w:tc>
      </w:tr>
      <w:tr>
        <w:trPr>
          <w:cantSplit/>
          <w:tblHeader w:val="false"/>
        </w:trPr>
        <w:tc>
          <w:tcPr>
            <w:tcW w:type="dxa" w:w="26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Signal-lookup latency</w:t>
            </w:r>
          </w:p>
        </w:tc>
        <w:tc>
          <w:tcPr>
            <w:tcW w:type="dxa" w:w="48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p99 from hub request receipt to response returned. Budgeted at roughly 6% of the five-second window the rails allow for accept or reject.</w:t>
            </w:r>
          </w:p>
        </w:tc>
        <w:tc>
          <w:tcPr>
            <w:tcW w:type="dxa" w:w="25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 300ms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Guardrails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560"/>
        <w:gridCol w:w="2080"/>
        <w:gridCol w:w="5440"/>
      </w:tblGrid>
      <w:tr>
        <w:trPr>
          <w:cantSplit/>
          <w:tblHeader/>
        </w:trPr>
        <w:tc>
          <w:tcPr>
            <w:tcW w:type="dxa" w:w="256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Guardrail</w:t>
            </w:r>
          </w:p>
        </w:tc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54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False-positive ratio on legitimate payments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15:1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Feedzai’s 2026 benchmarking puts best-in-class at 12:1 to 14:1 and weaker institutions above 30:1. Expressed as a ratio rather than a rate because that is how fraud teams budget review capacity, and because a raw percentage hides the review cost that decides whether the retail business tolerates the network.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Intervention rate on all payments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0.5%</w:t>
            </w:r>
          </w:p>
        </w:tc>
        <w:tc>
          <w:tcPr>
            <w:tcW w:type="dxa" w:w="54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share of total payments held or warned. Feedzai reports a normalised intervention rate of 0.1% as the working figure, with some institutions running 0.5% at roughly five times the review cost. Tracked separately from the ratio because a network can hold its ratio steady while quietly widening the net.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 false-positive gap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each run; investigated when the highest segment exceeds the lowest by more than 2×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Velocity and tenure signals structurally over-flag new accounts, thin-file customers and recurring remittance patterns. A network that quietly taxes those customers is a fair-lending problem wearing a fraud-prevention badge.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Unlogged network events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4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single failure that makes the audit chain worthless to an examiner.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Unavailable presented as low risk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timeout must never reach an analyst as a low-risk answer — the exact invisible failure the network exists to remove.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 blocked by network unavailability</w:t>
            </w:r>
          </w:p>
        </w:tc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4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network outage must never become a payment outage, the fastest way to lose a participant permanently.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Recalls resolved by timeout alone</w:t>
            </w:r>
          </w:p>
        </w:tc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5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 expiry is a disposition requiring acknowledgement, not an absence of one.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10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 How We Will Prove It Works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Interception, recall resolution and latency are measured against a fixed, versioned testbed and can be re-run deterministically. Everything requiring live volume — real false-positive experience, real analyst behaviour, real counterparty responsiveness — is out of reach of the v1.0 build and is labeled as such rather than estimated.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720"/>
        <w:gridCol w:w="1320"/>
        <w:gridCol w:w="6040"/>
      </w:tblGrid>
      <w:tr>
        <w:trPr>
          <w:cantSplit/>
          <w:tblHeader/>
        </w:trPr>
        <w:tc>
          <w:tcPr>
            <w:tcW w:type="dxa" w:w="27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60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2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Discovery</w:t>
            </w:r>
          </w:p>
        </w:tc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  <w:tc>
          <w:tcPr>
            <w:tcW w:type="dxa" w:w="6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Five to eight interviews with fraud analysts and operations leads at community banks and credit unions, validating one claim: that post-settlement recall today is manual and counterparty-by-counterparty. If it does not hold, the recall protocol is not the right differentiator and the scope changes.</w:t>
            </w:r>
          </w:p>
        </w:tc>
      </w:tr>
      <w:tr>
        <w:trPr>
          <w:cantSplit/>
          <w:tblHeader w:val="false"/>
        </w:trPr>
        <w:tc>
          <w:tcPr>
            <w:tcW w:type="dxa" w:w="2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Testbed benchmark</w:t>
            </w:r>
          </w:p>
        </w:tc>
        <w:tc>
          <w:tcPr>
            <w:tcW w:type="dxa" w:w="1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10–11</w:t>
            </w:r>
          </w:p>
        </w:tc>
        <w:tc>
          <w:tcPr>
            <w:tcW w:type="dxa" w:w="60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Interception rate, value intercepted, false positives overall and by segment, recall SLA resolution, and latency distribution under load.</w:t>
            </w:r>
          </w:p>
        </w:tc>
      </w:tr>
      <w:tr>
        <w:trPr>
          <w:cantSplit/>
          <w:tblHeader w:val="false"/>
        </w:trPr>
        <w:tc>
          <w:tcPr>
            <w:tcW w:type="dxa" w:w="2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Shadow (specified, not executed in v1.0)</w:t>
            </w:r>
          </w:p>
        </w:tc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production path: signals returned and logged but not acted on, so claims can be compared against the institution’s existing outcomes before enforcement.</w:t>
            </w:r>
          </w:p>
        </w:tc>
      </w:tr>
      <w:tr>
        <w:trPr>
          <w:cantSplit/>
          <w:tblHeader w:val="false"/>
        </w:trPr>
        <w:tc>
          <w:tcPr>
            <w:tcW w:type="dxa" w:w="2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Pilot (specified, not executed in v1.0)</w:t>
            </w:r>
          </w:p>
        </w:tc>
        <w:tc>
          <w:tcPr>
            <w:tcW w:type="dxa" w:w="1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0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or three institutions in one corridor, signals enforced at each institution’s own threshold, recall protocol live with SLA monitoring.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Decision rules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320"/>
        <w:gridCol w:w="8760"/>
      </w:tblGrid>
      <w:tr>
        <w:trPr>
          <w:cantSplit/>
          <w:tblHeader w:val="false"/>
        </w:trPr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Promote</w:t>
            </w:r>
          </w:p>
        </w:tc>
        <w:tc>
          <w:tcPr>
            <w:tcW w:type="dxa" w:w="8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Interception, recall-SLA and latency targets met on the frozen benchmark; zero guardrail breaches; segment fairness gap measured and disclosed.</w:t>
            </w:r>
          </w:p>
        </w:tc>
      </w:tr>
      <w:tr>
        <w:trPr>
          <w:cantSplit/>
          <w:tblHeader w:val="false"/>
        </w:trPr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Extend</w:t>
            </w:r>
          </w:p>
        </w:tc>
        <w:tc>
          <w:tcPr>
            <w:tcW w:type="dxa" w:w="8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Targets trending but unmet, or fairness gap above threshold with remediation in progress. Extend once, then decide.</w:t>
            </w:r>
          </w:p>
        </w:tc>
      </w:tr>
      <w:tr>
        <w:trPr>
          <w:cantSplit/>
          <w:tblHeader w:val="false"/>
        </w:trPr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Hold</w:t>
            </w:r>
          </w:p>
        </w:tc>
        <w:tc>
          <w:tcPr>
            <w:tcW w:type="dxa" w:w="8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verified silent failure — unavailable presented as low risk, an unlogged event, or a recall resolved by timeout without acknowledgement.</w:t>
            </w:r>
          </w:p>
        </w:tc>
      </w:tr>
      <w:tr>
        <w:trPr>
          <w:cantSplit/>
          <w:tblHeader w:val="false"/>
        </w:trPr>
        <w:tc>
          <w:tcPr>
            <w:tcW w:type="dxa" w:w="1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 back</w:t>
            </w:r>
          </w:p>
        </w:tc>
        <w:tc>
          <w:tcPr>
            <w:tcW w:type="dxa" w:w="8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configuration flag disables network consultation instantly; institutions fall back to local scoring with a logged degraded state. Fails loud, never silently permissive.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11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11. Business Case (Illustrative)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These figures are placeholders with stated assumptions, not a forecast. Published statistics are cited where they exist; everything derived from them is labeled as derived.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800"/>
        <w:gridCol w:w="3080"/>
        <w:gridCol w:w="4200"/>
      </w:tblGrid>
      <w:tr>
        <w:trPr>
          <w:cantSplit/>
          <w:tblHeader/>
        </w:trPr>
        <w:tc>
          <w:tcPr>
            <w:tcW w:type="dxa" w:w="2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42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US fraud losses, 2025</w:t>
            </w:r>
          </w:p>
        </w:tc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$15.9 billion across roughly 3 million reports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FTC Consumer Sentinel, per March 2026 testimony. Cited, not derived.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Published US prevention figure, for comparison</w:t>
            </w:r>
          </w:p>
        </w:tc>
        <w:tc>
          <w:tcPr>
            <w:tcW w:type="dxa" w:w="3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$3 billion in fraudulent transactions prevented across $11 trillion screened (2024)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Warning Services, in its September 2025 comment letter to the OCC, Federal Reserve and FDIC. A regulatory filing rather than a press release, but no methodology is disclosed. Cited as the closest available US benchmark, not as a validated result.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fraud rate on Zelle</w:t>
            </w:r>
          </w:p>
        </w:tc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0.02% of transactions result in a fraud or scam report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Warning, H1 2025. Footnoted as based on limited, self-reported memo-field data — a rate of reports received, not of fraud detected.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Latest published loss-by-payment-method breakout</w:t>
            </w:r>
          </w:p>
        </w:tc>
        <w:tc>
          <w:tcPr>
            <w:tcW w:type="dxa" w:w="3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$2.09 billion via bank transfer or payment (2024)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2025 breakout was unpublished at time of writing. Stated as 2024 rather than extrapolated.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Instant-rail settled value, 2025</w:t>
            </w:r>
          </w:p>
        </w:tc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Approximately $2.3 trillion across RTP and FedNow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Derived: RTP more than $1.3 trillion; FedNow $853.4 billion.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Addressable institutions</w:t>
            </w:r>
          </w:p>
        </w:tc>
        <w:tc>
          <w:tcPr>
            <w:tcW w:type="dxa" w:w="3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Roughly 1,800 FedNow and 1,200 RTP participants, with overlap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Published counts. More than 95% of FedNow participants are community banks and credit unions.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fraudulent transfer value</w:t>
            </w:r>
          </w:p>
        </w:tc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Approximately $1,100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Derived from Senate-published P2P case data: 192,878 cases totalling $213.8 million. A fat tail is modelled using the FTC investment-scam median loss of $10,000 (2025).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3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Per-query consumption fee; subscription for recall; contribution credited against consumption</w:t>
            </w:r>
          </w:p>
        </w:tc>
        <w:tc>
          <w:tcPr>
            <w:tcW w:type="dxa" w:w="42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Contribution credit is the flywheel: the cheapest way to consume signals is to publish them.</w:t>
            </w:r>
          </w:p>
        </w:tc>
      </w:tr>
    </w:tbl>
    <w:p>
      <w:pPr>
        <w:spacing w:after="100"/>
      </w:pP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commercial argument does not depend on precise figures. It depends on one structural point: on an irrevocable rail an intercepted payment avoids the entire loss, while a missed one is recoverable only through a manual process with no defined success rate. Any institution can compute its own case from its own loss line — the number it will actually trust.</w:t>
      </w:r>
    </w:p>
    <w:p>
      <w:pPr>
        <w:keepNext/>
        <w:keepLines/>
        <w:spacing w:after="120" w:before="260" w:line="300"/>
        <w:outlineLvl w:val="0"/>
      </w:pPr>
      <w:bookmarkStart w:name="s12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12. Risks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800"/>
        <w:gridCol w:w="6280"/>
      </w:tblGrid>
      <w:tr>
        <w:trPr>
          <w:cantSplit/>
          <w:tblHeader/>
        </w:trPr>
        <w:tc>
          <w:tcPr>
            <w:tcW w:type="dxa" w:w="38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2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Cold start — a network with two participants carries almost no signal, and the prior-flags dimension does not exist at all until there is a network.</w:t>
            </w:r>
          </w:p>
        </w:tc>
        <w:tc>
          <w:tcPr>
            <w:tcW w:type="dxa" w:w="62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Sequence adoption so institutions consume before contributing, price contribution as a credit (FR-12), and seed within a single rail’s participant list. The benchmark reports interception with and without the network-only dimension, so the cold-start penalty is visible.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Fair-lending exposure — velocity and tenure signals over-flag new accounts, thin-file customers and remittance corridors whose legitimate behaviour resembles mule behaviour.</w:t>
            </w:r>
          </w:p>
        </w:tc>
        <w:tc>
          <w:tcPr>
            <w:tcW w:type="dxa" w:w="62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Segment reporting is a P0 requirement (FR-10) and a named guardrail, not a post-launch review. Institutions set their own thresholds (FR-11) so the tradeoff is owned by the party accountable for it.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Antitrust surface — competitors exchanging customer-behaviour signals through shared infrastructure.</w:t>
            </w:r>
          </w:p>
        </w:tc>
        <w:tc>
          <w:tcPr>
            <w:tcW w:type="dxa" w:w="62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Hashed identifiers only, no pricing or commercial data in scope, participation on non-discriminatory terms, and a neutral operator rather than a participant-controlled hub. Requires counsel review before any production connection (Section 14).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Adversarial adaptation — operators age accounts past tenure thresholds and pace inbound volume beneath velocity thresholds.</w:t>
            </w:r>
          </w:p>
        </w:tc>
        <w:tc>
          <w:tcPr>
            <w:tcW w:type="dxa" w:w="62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Expected, not exceptional. Thresholds are institution-configurable, the onward-movement dimension is harder to evade, and the benchmark set includes an evasion cohort so degradation is measured rather than discovered in production.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Wrongful-hold liability — a sending institution holds a legitimate payment on a counterparty’s signal.</w:t>
            </w:r>
          </w:p>
        </w:tc>
        <w:tc>
          <w:tcPr>
            <w:tcW w:type="dxa" w:w="62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network informs; it never decides. The sending institution’s threshold and analyst produce the hold, and the audit chain records which signal informed it. Liability allocation between participants is a governance question (Section 14), not a technical claim.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Neutral-operator dependency — no commercially available neutral party agrees to run the hub.</w:t>
            </w:r>
          </w:p>
        </w:tc>
        <w:tc>
          <w:tcPr>
            <w:tcW w:type="dxa" w:w="62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engineering workaround. The architecture and schema survive; the go-to-market does not. The highest-impact open question in Section 14.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Synthetic-data validity — testbed results do not transfer to real institutional data.</w:t>
            </w:r>
          </w:p>
        </w:tc>
        <w:tc>
          <w:tcPr>
            <w:tcW w:type="dxa" w:w="62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Stated as a limitation rather than managed away. Distributions are calibrated against public datasets, prevalence inflation is disclosed, and no accuracy claim is made for the scoring service.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13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13. Rollout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840"/>
        <w:gridCol w:w="1240"/>
        <w:gridCol w:w="5480"/>
        <w:gridCol w:w="1520"/>
      </w:tblGrid>
      <w:tr>
        <w:trPr>
          <w:cantSplit/>
          <w:tblHeader/>
        </w:trPr>
        <w:tc>
          <w:tcPr>
            <w:tcW w:type="dxa" w:w="18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4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15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</w:t>
            </w:r>
          </w:p>
        </w:tc>
      </w:tr>
      <w:tr>
        <w:trPr>
          <w:cantSplit/>
          <w:tblHeader w:val="false"/>
        </w:trPr>
        <w:tc>
          <w:tcPr>
            <w:tcW w:type="dxa" w:w="1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Discovery</w:t>
            </w:r>
          </w:p>
        </w:tc>
        <w:tc>
          <w:tcPr>
            <w:tcW w:type="dxa" w:w="1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0–2</w:t>
            </w:r>
          </w:p>
        </w:tc>
        <w:tc>
          <w:tcPr>
            <w:tcW w:type="dxa" w:w="5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Practitioner interviews complete; the manual-recall claim validated with direct evidence or disproved and the scope revised.</w:t>
            </w:r>
          </w:p>
        </w:tc>
        <w:tc>
          <w:tcPr>
            <w:tcW w:type="dxa" w:w="1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Reddy</w:t>
            </w:r>
          </w:p>
        </w:tc>
      </w:tr>
      <w:tr>
        <w:trPr>
          <w:cantSplit/>
          <w:tblHeader w:val="false"/>
        </w:trPr>
        <w:tc>
          <w:tcPr>
            <w:tcW w:type="dxa" w:w="18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 and testbed</w:t>
            </w:r>
          </w:p>
        </w:tc>
        <w:tc>
          <w:tcPr>
            <w:tcW w:type="dxa" w:w="1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2–5</w:t>
            </w:r>
          </w:p>
        </w:tc>
        <w:tc>
          <w:tcPr>
            <w:tcW w:type="dxa" w:w="5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Versioned schema published; four-institution generator producing calibrated distributions with documented divergence.</w:t>
            </w:r>
          </w:p>
        </w:tc>
        <w:tc>
          <w:tcPr>
            <w:tcW w:type="dxa" w:w="15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Cheluri</w:t>
            </w:r>
          </w:p>
        </w:tc>
      </w:tr>
      <w:tr>
        <w:trPr>
          <w:cantSplit/>
          <w:tblHeader w:val="false"/>
        </w:trPr>
        <w:tc>
          <w:tcPr>
            <w:tcW w:type="dxa" w:w="1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Hub and adapters</w:t>
            </w:r>
          </w:p>
        </w:tc>
        <w:tc>
          <w:tcPr>
            <w:tcW w:type="dxa" w:w="1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5–8</w:t>
            </w:r>
          </w:p>
        </w:tc>
        <w:tc>
          <w:tcPr>
            <w:tcW w:type="dxa" w:w="5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 hub live with hash-chained audit; two reference engines integrated; degradation verified under simulated outage and timeout.</w:t>
            </w:r>
          </w:p>
        </w:tc>
        <w:tc>
          <w:tcPr>
            <w:tcW w:type="dxa" w:w="1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Cheluri</w:t>
            </w:r>
          </w:p>
        </w:tc>
      </w:tr>
      <w:tr>
        <w:trPr>
          <w:cantSplit/>
          <w:tblHeader w:val="false"/>
        </w:trPr>
        <w:tc>
          <w:tcPr>
            <w:tcW w:type="dxa" w:w="18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 service</w:t>
            </w:r>
          </w:p>
        </w:tc>
        <w:tc>
          <w:tcPr>
            <w:tcW w:type="dxa" w:w="1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8–10</w:t>
            </w:r>
          </w:p>
        </w:tc>
        <w:tc>
          <w:tcPr>
            <w:tcW w:type="dxa" w:w="5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 state machine complete with full disposition coverage; no path closes a request without a recorded disposition.</w:t>
            </w:r>
          </w:p>
        </w:tc>
        <w:tc>
          <w:tcPr>
            <w:tcW w:type="dxa" w:w="15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Reddy</w:t>
            </w:r>
          </w:p>
        </w:tc>
      </w:tr>
      <w:tr>
        <w:trPr>
          <w:cantSplit/>
          <w:tblHeader w:val="false"/>
        </w:trPr>
        <w:tc>
          <w:tcPr>
            <w:tcW w:type="dxa" w:w="18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</w:t>
            </w:r>
          </w:p>
        </w:tc>
        <w:tc>
          <w:tcPr>
            <w:tcW w:type="dxa" w:w="1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10–11</w:t>
            </w:r>
          </w:p>
        </w:tc>
        <w:tc>
          <w:tcPr>
            <w:tcW w:type="dxa" w:w="5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evaluation run, reproducible against a frozen snapshot, including segment fairness analysis.</w:t>
            </w:r>
          </w:p>
        </w:tc>
        <w:tc>
          <w:tcPr>
            <w:tcW w:type="dxa" w:w="1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</w:tr>
      <w:tr>
        <w:trPr>
          <w:cantSplit/>
          <w:tblHeader w:val="false"/>
        </w:trPr>
        <w:tc>
          <w:tcPr>
            <w:tcW w:type="dxa" w:w="18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Package</w:t>
            </w:r>
          </w:p>
        </w:tc>
        <w:tc>
          <w:tcPr>
            <w:tcW w:type="dxa" w:w="1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Weeks 11–12</w:t>
            </w:r>
          </w:p>
        </w:tc>
        <w:tc>
          <w:tcPr>
            <w:tcW w:type="dxa" w:w="54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Embedded-panel reference; documentation including stated limitations; deployed demonstration environment.</w:t>
            </w:r>
          </w:p>
        </w:tc>
        <w:tc>
          <w:tcPr>
            <w:tcW w:type="dxa" w:w="15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100"/>
      </w:pP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After v1:</w:t>
      </w:r>
      <w:r>
        <w:rPr>
          <w:rFonts w:ascii="Calibri" w:cs="Calibri" w:eastAsia="Calibri" w:hAnsi="Calibri"/>
          <w:sz w:val="21"/>
          <w:szCs w:val="21"/>
        </w:rPr>
        <w:t xml:space="preserve"> cross-border corridors, card and ACH extension, a drafted governance model, contribution-based pricing, and a shadow deployment with a real institution — the first point at which any claim here can be validated outside a simulation.</w:t>
      </w:r>
    </w:p>
    <w:p>
      <w:pPr>
        <w:keepNext/>
        <w:keepLines/>
        <w:spacing w:after="120" w:before="260" w:line="300"/>
        <w:outlineLvl w:val="0"/>
      </w:pPr>
      <w:bookmarkStart w:name="s14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14. Open Questions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5120"/>
        <w:gridCol w:w="2320"/>
        <w:gridCol w:w="2640"/>
      </w:tblGrid>
      <w:tr>
        <w:trPr>
          <w:cantSplit/>
          <w:tblHeader/>
        </w:trPr>
        <w:tc>
          <w:tcPr>
            <w:tcW w:type="dxa" w:w="51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3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6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  <w:tblHeader w:val="false"/>
        </w:trPr>
        <w:tc>
          <w:tcPr>
            <w:tcW w:type="dxa" w:w="5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operates the neutral hub — a payment system operator, consortium entity, or regulated utility? No participant and no detection vendor can hold it without breaking the neutrality argument.</w:t>
            </w:r>
          </w:p>
        </w:tc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Partnerships + Legal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any production connection</w:t>
            </w:r>
          </w:p>
        </w:tc>
      </w:tr>
      <w:tr>
        <w:trPr>
          <w:cantSplit/>
          <w:tblHeader w:val="false"/>
        </w:trPr>
        <w:tc>
          <w:tcPr>
            <w:tcW w:type="dxa" w:w="51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defensible recall SLA — hours or business days — and what happens to the funds while the clock runs?</w:t>
            </w:r>
          </w:p>
        </w:tc>
        <w:tc>
          <w:tcPr>
            <w:tcW w:type="dxa" w:w="2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Fraud Operations + Legal</w:t>
            </w:r>
          </w:p>
        </w:tc>
        <w:tc>
          <w:tcPr>
            <w:tcW w:type="dxa" w:w="26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FR-4 sign-off</w:t>
            </w:r>
          </w:p>
        </w:tc>
      </w:tr>
      <w:tr>
        <w:trPr>
          <w:cantSplit/>
          <w:tblHeader w:val="false"/>
        </w:trPr>
        <w:tc>
          <w:tcPr>
            <w:tcW w:type="dxa" w:w="5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 sharing hashed behavioural signals between competitors require an antitrust safe-harbour opinion, an information-sharing agreement, or both?</w:t>
            </w:r>
          </w:p>
        </w:tc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Legal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pilot</w:t>
            </w:r>
          </w:p>
        </w:tc>
      </w:tr>
      <w:tr>
        <w:trPr>
          <w:cantSplit/>
          <w:tblHeader w:val="false"/>
        </w:trPr>
        <w:tc>
          <w:tcPr>
            <w:tcW w:type="dxa" w:w="51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hashing standard and salting scheme do participants agree on, and who rotates it?</w:t>
            </w:r>
          </w:p>
        </w:tc>
        <w:tc>
          <w:tcPr>
            <w:tcW w:type="dxa" w:w="2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+ Engineering</w:t>
            </w:r>
          </w:p>
        </w:tc>
        <w:tc>
          <w:tcPr>
            <w:tcW w:type="dxa" w:w="26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FR-1 is stable</w:t>
            </w:r>
          </w:p>
        </w:tc>
      </w:tr>
      <w:tr>
        <w:trPr>
          <w:cantSplit/>
          <w:tblHeader w:val="false"/>
        </w:trPr>
        <w:tc>
          <w:tcPr>
            <w:tcW w:type="dxa" w:w="5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does liability sit when a payment is held on a counterparty’s signal and the hold proves wrong?</w:t>
            </w:r>
          </w:p>
        </w:tc>
        <w:tc>
          <w:tcPr>
            <w:tcW w:type="dxa" w:w="2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Legal + Partnerships</w:t>
            </w:r>
          </w:p>
        </w:tc>
        <w:tc>
          <w:tcPr>
            <w:tcW w:type="dxa" w:w="26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pilot</w:t>
            </w:r>
          </w:p>
        </w:tc>
      </w:tr>
      <w:tr>
        <w:trPr>
          <w:cantSplit/>
          <w:tblHeader w:val="false"/>
        </w:trPr>
        <w:tc>
          <w:tcPr>
            <w:tcW w:type="dxa" w:w="51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 a participant have a duty to act on a received signal, and what is the exposure if it does not?</w:t>
            </w:r>
          </w:p>
        </w:tc>
        <w:tc>
          <w:tcPr>
            <w:tcW w:type="dxa" w:w="23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Legal + Fraud Operations</w:t>
            </w:r>
          </w:p>
        </w:tc>
        <w:tc>
          <w:tcPr>
            <w:tcW w:type="dxa" w:w="26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pilot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15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15. v1.0 Demo Scope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document describes the full product. The v1.0 build implements its core mechanics to prove the design decisions that matter: that the schema carries enough signal to support a hold, that routing fits inside a real latency budget, that the recall state machine has no silent exits, and that the audit chain is tamper-evident. It does not reach production scale, prove detection accuracy, or substitute for legal review.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2080"/>
        <w:gridCol w:w="6000"/>
        <w:gridCol w:w="2000"/>
      </w:tblGrid>
      <w:tr>
        <w:trPr>
          <w:cantSplit/>
          <w:tblHeader/>
        </w:trPr>
        <w:tc>
          <w:tcPr>
            <w:tcW w:type="dxa" w:w="208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00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Proves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Four-institution testbed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Roughly 2,000 accounts per institution over 90 days, generated at two prevalence settings (0.05% realistic and 2% inflated) with an evasion cohort; distributions calibrated against PaySim and published case statistics.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FR-1, FR-9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 schema</w:t>
            </w:r>
          </w:p>
        </w:tc>
        <w:tc>
          <w:tcPr>
            <w:tcW w:type="dxa" w:w="6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Versioned, typed models with hashed identifiers, validated at every boundary, with generated API documentation.</w:t>
            </w:r>
          </w:p>
        </w:tc>
        <w:tc>
          <w:tcPr>
            <w:tcW w:type="dxa" w:w="2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FR-1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 hub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Authenticated routing with hash-chained audit and enforced latency budget.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FR-2, FR-6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Adapter layer</w:t>
            </w:r>
          </w:p>
        </w:tc>
        <w:tc>
          <w:tcPr>
            <w:tcW w:type="dxa" w:w="6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reference integrations — one rules-based, one model-based — both emitting valid schema output.</w:t>
            </w:r>
          </w:p>
        </w:tc>
        <w:tc>
          <w:tcPr>
            <w:tcW w:type="dxa" w:w="2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FR-3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 service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SLA state machine, complete disposition set, evidence from both sides, exhaustive transition tests.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FR-4</w:t>
            </w:r>
          </w:p>
        </w:tc>
      </w:tr>
      <w:tr>
        <w:trPr>
          <w:cantSplit/>
          <w:tblHeader w:val="false"/>
        </w:trPr>
        <w:tc>
          <w:tcPr>
            <w:tcW w:type="dxa" w:w="208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Analyst consoles</w:t>
            </w:r>
          </w:p>
        </w:tc>
        <w:tc>
          <w:tcPr>
            <w:tcW w:type="dxa" w:w="6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Sending-side queue with signal, explanation and hold or release; receiving-side inbound-flag view; shared recall workspace.</w:t>
            </w:r>
          </w:p>
        </w:tc>
        <w:tc>
          <w:tcPr>
            <w:tcW w:type="dxa" w:w="200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FR-5, FR-8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 report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Interception by count and by value, false-positive ratio and intervention rate overall and by segment, recall SLA resolution, latency — reproducible against a frozen snapshot and reported against published industry benchmarks.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FR-9, FR-10</w:t>
            </w:r>
          </w:p>
        </w:tc>
      </w:tr>
    </w:tbl>
    <w:p>
      <w:pPr>
        <w:spacing w:after="100"/>
      </w:pPr>
    </w:p>
    <w:p>
      <w:pPr>
        <w:keepNext/>
        <w:keepLines/>
        <w:spacing w:after="80" w:before="180" w:line="270"/>
        <w:outlineLvl w:val="2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What is simulated or deferred</w:t>
      </w:r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1920"/>
        <w:gridCol w:w="3920"/>
        <w:gridCol w:w="4240"/>
      </w:tblGrid>
      <w:tr>
        <w:trPr>
          <w:cantSplit/>
          <w:tblHeader/>
        </w:trPr>
        <w:tc>
          <w:tcPr>
            <w:tcW w:type="dxa" w:w="19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9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v1.0 build</w:t>
            </w:r>
          </w:p>
        </w:tc>
        <w:tc>
          <w:tcPr>
            <w:tcW w:type="dxa" w:w="424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product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Institutions</w:t>
            </w:r>
          </w:p>
        </w:tc>
        <w:tc>
          <w:tcPr>
            <w:tcW w:type="dxa" w:w="3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Four synthetic institutions in one process.</w:t>
            </w:r>
          </w:p>
        </w:tc>
        <w:tc>
          <w:tcPr>
            <w:tcW w:type="dxa" w:w="4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Independently operated institutions with authenticated connections.</w:t>
            </w:r>
          </w:p>
        </w:tc>
      </w:tr>
      <w:tr>
        <w:trPr>
          <w:cantSplit/>
          <w:tblHeader w:val="false"/>
        </w:trPr>
        <w:tc>
          <w:tcPr>
            <w:tcW w:type="dxa" w:w="1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Detection quality</w:t>
            </w:r>
          </w:p>
        </w:tc>
        <w:tc>
          <w:tcPr>
            <w:tcW w:type="dxa" w:w="3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deliberately simple scoring service, present only to exercise routing. No accuracy claim is made.</w:t>
            </w:r>
          </w:p>
        </w:tc>
        <w:tc>
          <w:tcPr>
            <w:tcW w:type="dxa" w:w="4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institution’s own production fraud engine.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Fraud prevalence</w:t>
            </w:r>
          </w:p>
        </w:tc>
        <w:tc>
          <w:tcPr>
            <w:tcW w:type="dxa" w:w="3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arms, both reported: a realistic arm at 0.05% and an inflated arm at 2%. The inflated arm is roughly 300 times the UK Faster Payments rate and exists only so the set holds enough positives to measure.</w:t>
            </w:r>
          </w:p>
        </w:tc>
        <w:tc>
          <w:tcPr>
            <w:tcW w:type="dxa" w:w="4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 prevalence, with the benchmark re-baselined against the institution’s own observed rate.</w:t>
            </w:r>
          </w:p>
        </w:tc>
      </w:tr>
      <w:tr>
        <w:trPr>
          <w:cantSplit/>
          <w:tblHeader w:val="false"/>
        </w:trPr>
        <w:tc>
          <w:tcPr>
            <w:tcW w:type="dxa" w:w="1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Recall execution</w:t>
            </w:r>
          </w:p>
        </w:tc>
        <w:tc>
          <w:tcPr>
            <w:tcW w:type="dxa" w:w="3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Dispositions recorded; no funds move.</w:t>
            </w:r>
          </w:p>
        </w:tc>
        <w:tc>
          <w:tcPr>
            <w:tcW w:type="dxa" w:w="4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Dispositions executed against real ledgers.</w:t>
            </w:r>
          </w:p>
        </w:tc>
      </w:tr>
      <w:tr>
        <w:trPr>
          <w:cantSplit/>
          <w:tblHeader w:val="false"/>
        </w:trPr>
        <w:tc>
          <w:tcPr>
            <w:tcW w:type="dxa" w:w="1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Governance and legal review</w:t>
            </w:r>
          </w:p>
        </w:tc>
        <w:tc>
          <w:tcPr>
            <w:tcW w:type="dxa" w:w="3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performed.</w:t>
            </w:r>
          </w:p>
        </w:tc>
        <w:tc>
          <w:tcPr>
            <w:tcW w:type="dxa" w:w="42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Operator agreement, antitrust review and participation terms before any production connection.</w:t>
            </w:r>
          </w:p>
        </w:tc>
      </w:tr>
      <w:tr>
        <w:trPr>
          <w:cantSplit/>
          <w:tblHeader w:val="false"/>
        </w:trPr>
        <w:tc>
          <w:tcPr>
            <w:tcW w:type="dxa" w:w="1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validation</w:t>
            </w:r>
          </w:p>
        </w:tc>
        <w:tc>
          <w:tcPr>
            <w:tcW w:type="dxa" w:w="39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 Every number in the report is synthetic.</w:t>
            </w:r>
          </w:p>
        </w:tc>
        <w:tc>
          <w:tcPr>
            <w:tcW w:type="dxa" w:w="424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Shadow deployment is the first point at which any claim here is validated.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a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Appendix A — Data Model and Events</w:t>
      </w:r>
      <w:bookmarkEnd w:id="1"/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Signal request: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protocol_version, request_id, requesting_institution_id, destination_account_hash, destination_institution_id, amount_cents, currency, rail (fednow | rtp), is_first_time_payee, sender_context_flags, requested_at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Signal response: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request_id, risk_band (low | elevated | high | unavailable), contributing_dimensions[], confidence, explanation_strings[], responding_institution_id, valid_until, responded_at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Recall request: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recall_id, originating_case_reference, original_request_id, destination_account_hash, amount_cents, claimed_scam_category, evidence_summary, requested_at, sla_expires_at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Recall disposition: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recall_id, disposition (funds_frozen | funds_returned | partial_return | insufficient_funds | account_holder_disputes | declined_with_reason | sla_expired_acknowledged), responding_institution_id, disposition_evidence, resolved_at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Every disposition is terminal and explicit. There is no null, no pending-forever, and no path by which a request closes because nobody answered — SLA expiry is itself an acknowledged disposition.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Audit chain entry: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sequence_number, previous_hash, entry_hash, event_type, actor_institution_id, payload_digest, recorded_at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Events: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signal_requested, signal_returned, signal_unavailable, decision_recorded, payment_held, payment_released, network_degraded, recall_raised, recall_acknowledged, recall_disposed, sla_breached, benchmark_run_recorded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Every event carries institution identifier, schema version, timestamp and, where relevant, the adapter version that produced it. All Section 9 metrics are computed from these events alone, so both institutions and the operator read identical numbers.</w:t>
      </w:r>
    </w:p>
    <w:p>
      <w:pPr>
        <w:keepNext/>
        <w:keepLines/>
        <w:spacing w:after="120" w:before="260" w:line="300"/>
        <w:outlineLvl w:val="0"/>
      </w:pPr>
      <w:bookmarkStart w:name="sb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Appendix B — Edge Cases</w:t>
      </w:r>
      <w:bookmarkEnd w:id="1"/>
    </w:p>
    <w:tbl>
      <w:tblPr>
        <w:tblW w:type="dxa" w:w="10080"/>
        <w:tblBorders>
          <w:top w:val="single" w:color="BBBBBB" w:sz="3"/>
          <w:left w:val="single" w:color="BBBBBB" w:sz="3"/>
          <w:bottom w:val="single" w:color="BBBBBB" w:sz="3"/>
          <w:right w:val="single" w:color="BBBBBB" w:sz="3"/>
          <w:insideH w:val="single" w:color="BBBBBB" w:sz="3"/>
          <w:insideV w:val="single" w:color="BBBBBB" w:sz="3"/>
        </w:tblBorders>
      </w:tblPr>
      <w:tblGrid>
        <w:gridCol w:w="3720"/>
        <w:gridCol w:w="6360"/>
      </w:tblGrid>
      <w:tr>
        <w:trPr>
          <w:cantSplit/>
          <w:tblHeader/>
        </w:trPr>
        <w:tc>
          <w:tcPr>
            <w:tcW w:type="dxa" w:w="372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360"/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hub is unreachable or exceeds its latency budget.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payment proceeds on the sending institution’s own score; an explicit unavailable state is logged and surfaced. Never a block, never a low-risk default.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signal exists for the destination account — a genuinely new or dormant account.</w:t>
            </w:r>
          </w:p>
        </w:tc>
        <w:tc>
          <w:tcPr>
            <w:tcW w:type="dxa" w:w="63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an explicit no-signal response rather than a low band. Absence of evidence is not presented as evidence of absence.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senders query the same destination account within the same second.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receive a response and both are recorded as distinct flags, so the prior-flags dimension reflects true simultaneity rather than collapsing duplicates.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receiving institution’s customer is an account-takeover victim, not a mule.</w:t>
            </w:r>
          </w:p>
        </w:tc>
        <w:tc>
          <w:tcPr>
            <w:tcW w:type="dxa" w:w="63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disposition set includes account_holder_disputes precisely so this is expressible — a legitimate outcome, not a failure to comply.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recall arrives after funds have left the receiving institution.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Resolved as insufficient_funds with evidence; the onward destination becomes a new signal input, so the chain continues rather than terminating.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held payment proves legitimate and the customer complains.</w:t>
            </w:r>
          </w:p>
        </w:tc>
        <w:tc>
          <w:tcPr>
            <w:tcW w:type="dxa" w:w="63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audit chain reconstructs which signal informed the hold and which threshold applied. The sending institution owns the decision and the remedy.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institutions run different schema minor versions.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negotiation selects the highest mutually supported version; unknown fields are ignored rather than rejected, so a lagging participant degrades in capability, not availability.</w:t>
            </w:r>
          </w:p>
        </w:tc>
      </w:tr>
      <w:tr>
        <w:trPr>
          <w:cantSplit/>
          <w:tblHeader w:val="false"/>
        </w:trPr>
        <w:tc>
          <w:tcPr>
            <w:tcW w:type="dxa" w:w="372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segment fairness gap exceeds its investigation threshold.</w:t>
            </w:r>
          </w:p>
        </w:tc>
        <w:tc>
          <w:tcPr>
            <w:tcW w:type="dxa" w:w="6360"/>
            <w:shd w:fill="EFF1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30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Reported in the benchmark rather than suppressed, with affected segments named. The requirement is disclosure and investigation, not a passing number.</w:t>
            </w:r>
          </w:p>
        </w:tc>
      </w:tr>
    </w:tbl>
    <w:p>
      <w:pPr>
        <w:spacing w:after="100"/>
      </w:pPr>
    </w:p>
    <w:p>
      <w:pPr>
        <w:keepNext/>
        <w:keepLines/>
        <w:spacing w:after="120" w:before="260" w:line="300"/>
        <w:outlineLvl w:val="0"/>
      </w:pPr>
      <w:bookmarkStart w:name="sc" w:id="1"/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Appendix C — Sources</w:t>
      </w:r>
      <w:bookmarkEnd w:id="1"/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Federal Trade Commission, Consumer Sentinel Network — $15.9 billion in reported fraud losses across approximately 3 million reports in 2025, per March 2026 congressional testimony; $12.5 billion across 2.6 million reports in 2024; $2.09 billion attributed to bank transfer or payment in the 2024 payment-method breakout; investment-scam median loss of $10,000 in 2025 against $9,300 in 2024.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Federal Reserve, FedNow Service — 2025 settled value of $853.4 billion on 460% volume growth; average settled payment of $101,435 against $25,376 in 2024; transaction cap raised to $10 million; participation above 1,600 institutions, of which more than 95% are community banks and credit unions.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Clearing House, RTP network — more than $1.3 trillion processed in 2025; approximately 1.36 million transactions per day in the fourth quarter; cap raised to $10 million in February 2025; approximately 1,135 participating institutions as reported in January 2026.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Early Warning Services — comment letter to the OCC, Federal Reserve and FDIC payments-fraud request for information, 18 September 2025, stating $3 billion in fraudulent transactions prevented across $11 trillion in payment volume screened during 2024; and H1 2025 reporting that 0.02% of Zelle transactions result in a fraud or scam report, footnoted as drawn from limited self-reported memo-field data. Cited as the closest available US prevention benchmark; neither figure discloses a method.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Feedzai fraud benchmarking, May 2026 — value detection rate above 70% described as best-in-class, 60–70% as market-leading, 40–60% as strong; false-positive ratio of 12:1 to 14:1 for best-in-class institutions and above 30:1 for weaker ones; normalised intervention rate of 0.1%. The basis for the revised targets and guardrails in Section 9. Institution count and sample size are not disclosed.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 Faster Payments Council, Operational Considerations for Instant Payments, October 2023 — both FedNow and RTP require a receiving participant to return an accept or reject decision within five seconds, covering validation, fraud screening, sanctions checks and account verification. Neither rail publishes a sub-budget for fraud scoring; the 300ms figure in this document is an internal allocation of roughly 6% of that window, not a rail requirement.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Money-mule detection at OCBC Bank, arXiv 2607.17586, July 2026 — precision 0.909, recall 0.816, F1 0.860 on real bank data with labels drawn from police seizure orders, but on an evaluation set that is 77.2% positive. Included as the only peer-reviewable mule-detection result found with a disclosed method, and as a caution: its headline figures are not comparable to production prevalence.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JPMorgan Chase, November 2025 — $12 billion in fraud and scam attempts reported as safeguarded over the prior year, across all channels rather than a single rail, with no methodology disclosed. Included to show the shape of US prevention claims, not as a comparator.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 Senate Permanent Subcommittee on Investigations — P2P fraud and scam case data covering 192,878 cases totalling $213.8 million across four institutions, used only to derive an average transfer value for distribution calibration.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Consumer Financial Protection Bureau — litigation filed against Early Warning Services and three owner institutions in December 2024 and dismissed with prejudice in March 2025; basis for the no-US-mandate position in Sections 2 and 8.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UK Payment Systems Regulator — mandatory APP reimbursement from 7 October 2024 with liability split evenly between sending and receiving providers; independent review published July 2026 reporting annual losses down £73 million and reimbursement rising from 54% to 65%. Cited as evidence the mechanism works, not as a US forcing function.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BioCatch Trust Network (Australia, November 2024; later Argentina) and Mastercard Consumer Fraud Risk on the Vocalink network, extended globally with Feedzai — prior art that solves detection and does not address interoperability or post-settlement recall.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Federal Reserve FedNow Service and The Clearing House RTP network — neither publishes a fraud rate for its rail. FedNow’s published fraud material describes tooling only, with no performance data. The absence is cited in Section 2 as evidence for the measurement gap this document addresses, and is a finding rather than a source.</w:t>
      </w:r>
    </w:p>
    <w:p>
      <w:pPr>
        <w:pStyle w:val="ListParagraph"/>
        <w:numPr>
          <w:ilvl w:val="0"/>
          <w:numId w:val="1"/>
        </w:num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PaySim and the IEEE-CIS fraud detection dataset — candidate public reference sets for distribution calibration of the synthetic testbed (FR-1).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Market and volume statistics above are published figures and are cited as such. Every business-case input in Section 11 that is not directly published is labeled as derived or as a placeholder. All performance figures produced by the v1.0 build are synthetic and are labeled as synthetic wherever they appear.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3" w:space="6"/>
      </w:pBdr>
      <w:tabs>
        <w:tab w:val="right" w:pos="10080"/>
      </w:tabs>
      <w:spacing w:before="60"/>
    </w:pPr>
    <w:r>
      <w:rPr>
        <w:rFonts w:ascii="Calibri" w:cs="Calibri" w:eastAsia="Calibri" w:hAnsi="Calibri"/>
        <w:color w:val="666666"/>
        <w:sz w:val="17"/>
        <w:szCs w:val="17"/>
      </w:rPr>
      <w:t xml:space="preserve">Interlock — Product Requirements Document · v1.1</w:t>
    </w:r>
    <w:r>
      <w:rPr>
        <w:sz w:val="17"/>
        <w:szCs w:val="17"/>
      </w:rPr>
      <w:t xml:space="preserve">		</w:t>
    </w:r>
    <w:r>
      <w:rPr>
        <w:rFonts w:ascii="Calibri" w:cs="Calibri" w:eastAsia="Calibri" w:hAnsi="Calibri"/>
        <w:color w:val="666666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Interlock - Product Requirements Document v1.1</dc:title>
  <dc:creator>Sai Prathap Reddy Cheluri &amp; Lekhashree Srinath Reddy</dc:creator>
  <cp:lastModifiedBy>Un-named</cp:lastModifiedBy>
  <cp:revision>1</cp:revision>
  <dcterms:created xsi:type="dcterms:W3CDTF">2026-09-17T16:07:18.309Z</dcterms:created>
  <dcterms:modified xsi:type="dcterms:W3CDTF">2026-09-17T16:07:18.319Z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