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9167" w14:textId="7DC63C74" w:rsidR="00467DD3" w:rsidRPr="000D1B18" w:rsidRDefault="005D13F0" w:rsidP="005D13F0">
      <w:pPr>
        <w:spacing w:line="360" w:lineRule="auto"/>
        <w:jc w:val="both"/>
        <w:rPr>
          <w:rFonts w:cstheme="minorHAnsi"/>
          <w:sz w:val="24"/>
          <w:szCs w:val="24"/>
          <w:lang w:val="en-GB"/>
        </w:rPr>
      </w:pPr>
      <w:r>
        <w:rPr>
          <w:rFonts w:cstheme="minorHAnsi"/>
          <w:b/>
          <w:bCs/>
          <w:sz w:val="24"/>
          <w:szCs w:val="24"/>
          <w:shd w:val="clear" w:color="auto" w:fill="FFFFFF"/>
          <w:lang w:val="en-GB"/>
        </w:rPr>
        <w:t>Supplementary Material 2</w:t>
      </w:r>
      <w:r w:rsidRPr="000D1B18">
        <w:rPr>
          <w:rFonts w:cstheme="minorHAnsi"/>
          <w:sz w:val="24"/>
          <w:szCs w:val="24"/>
          <w:shd w:val="clear" w:color="auto" w:fill="FFFFFF"/>
          <w:lang w:val="en-GB"/>
        </w:rPr>
        <w:t xml:space="preserve">: </w:t>
      </w:r>
      <w:r w:rsidR="000D1B18" w:rsidRPr="000D1B18">
        <w:rPr>
          <w:rFonts w:cstheme="minorHAnsi"/>
          <w:sz w:val="24"/>
          <w:szCs w:val="24"/>
          <w:shd w:val="clear" w:color="auto" w:fill="FFFFFF"/>
          <w:lang w:val="en-GB"/>
        </w:rPr>
        <w:t>Methodology for m</w:t>
      </w:r>
      <w:r w:rsidR="00467DD3" w:rsidRPr="000D1B18">
        <w:rPr>
          <w:rFonts w:cstheme="minorHAnsi"/>
          <w:sz w:val="24"/>
          <w:szCs w:val="24"/>
          <w:lang w:val="en-GB"/>
        </w:rPr>
        <w:t>athematical lipid correction applied to the ẟ</w:t>
      </w:r>
      <w:r w:rsidR="00467DD3" w:rsidRPr="000D1B18">
        <w:rPr>
          <w:rFonts w:cstheme="minorHAnsi"/>
          <w:sz w:val="24"/>
          <w:szCs w:val="24"/>
          <w:vertAlign w:val="superscript"/>
          <w:lang w:val="en-GB"/>
        </w:rPr>
        <w:t>13</w:t>
      </w:r>
      <w:r w:rsidR="00467DD3" w:rsidRPr="000D1B18">
        <w:rPr>
          <w:rFonts w:cstheme="minorHAnsi"/>
          <w:sz w:val="24"/>
          <w:szCs w:val="24"/>
          <w:lang w:val="en-GB"/>
        </w:rPr>
        <w:t xml:space="preserve">C values of fish samples that had C:N ratios higher than 3.0 </w:t>
      </w:r>
      <w:r w:rsidR="0035651F">
        <w:rPr>
          <w:rFonts w:cstheme="minorHAnsi"/>
          <w:sz w:val="24"/>
          <w:szCs w:val="24"/>
          <w:lang w:val="en-GB"/>
        </w:rPr>
        <w:fldChar w:fldCharType="begin"/>
      </w:r>
      <w:r w:rsidR="0035651F">
        <w:rPr>
          <w:rFonts w:cstheme="minorHAnsi"/>
          <w:sz w:val="24"/>
          <w:szCs w:val="24"/>
          <w:lang w:val="en-GB"/>
        </w:rPr>
        <w:instrText xml:space="preserve"> ADDIN ZOTERO_ITEM CSL_CITATION {"citationID":"DtlavYMT","properties":{"formattedCitation":"(Kiljunen et al., 2006)","plainCitation":"(Kiljunen et al., 2006)","noteIndex":0},"citationItems":[{"id":3875,"uris":["http://zotero.org/users/11688370/items/T25466VT"],"itemData":{"id":3875,"type":"article-journal","abstract":"Summary\n            \n              \n                \n                  \n                    Stable isotope analyses coupled with mixing models are being used increasingly to evaluate ecological management issues and questions. Such applications of stable isotope analyses often require simultaneous carbon and nitrogen analyses from the same sample. Correction of the carbon isotope values to take account of the varying content of\n                    13\n                    C‐depleted lipids is then frequently achieved by a lipid‐normalization procedure using a model describing the relationship between change in δ\n                    13\n                    C following lipid removal and the original C:N ratio of a sample.\n                  \n                \n                \n                  \n                    We evaluated the applicability of two widely used normalization models using empirical data for muscle tissue from a wide range of fish and for aquatic invertebrates. Neither normalization model proved satisfactory, and we present some modifications that greatly improve the fit of one of the models to the fish muscle data. For invertebrates we found no clear relationship between change in δ\n                    13\n                    C following lipid removal and the original C:N ratio.\n                  \n                \n                \n                  We also examined the effect of lipid‐normalization on the output of a mixing model designed to calculate the proportional contribution of prey items to the diet of a consumer. Mixing model output was greatly influenced by whether prey or consumer values alone or together were lipid‐normalized and we urge caution in the interpretation of results from these models pending further experimental evidence.\n                \n                \n                  \n                    Synthesis and applications\n                    . We describe a revised lipid‐normalization model that should be applicable to a wide range of marine and freshwater fish species in studies applying stable isotope analyses to ecological management issues. However, we strongly advise against applying these kinds of lipid‐normalization models to aquatic invertebrate data. The interpretation of outputs from mixing models is greatly influenced by whether the carbon isotope data have been lipid‐normalized or not.","container-title":"Journal of Applied Ecology","DOI":"10.1111/j.1365-2664.2006.01224.x","ISSN":"0021-8901, 1365-2664","issue":"6","journalAbbreviation":"Journal of Applied Ecology","language":"en","page":"1213-1222","source":"DOI.org (Crossref)","title":"A revised model for lipid‐normalizing δ &lt;sup&gt;13&lt;/sup&gt; C values from aquatic organisms, with implications for isotope mixing models","volume":"43","author":[{"family":"Kiljunen","given":"Mikko"},{"family":"Grey","given":"Jonathan"},{"family":"Sinisalo","given":"Tuula"},{"family":"Harrod","given":"Chris"},{"family":"Immonen","given":"Hemmo"},{"family":"Jones","given":"Roger I."}],"issued":{"date-parts":[["2006",12]]}}}],"schema":"https://github.com/citation-style-language/schema/raw/master/csl-citation.json"} </w:instrText>
      </w:r>
      <w:r w:rsidR="0035651F">
        <w:rPr>
          <w:rFonts w:cstheme="minorHAnsi"/>
          <w:sz w:val="24"/>
          <w:szCs w:val="24"/>
          <w:lang w:val="en-GB"/>
        </w:rPr>
        <w:fldChar w:fldCharType="separate"/>
      </w:r>
      <w:r w:rsidR="0035651F" w:rsidRPr="0035651F">
        <w:rPr>
          <w:rFonts w:ascii="Calibri" w:hAnsi="Calibri" w:cs="Calibri"/>
          <w:sz w:val="24"/>
        </w:rPr>
        <w:t>(</w:t>
      </w:r>
      <w:proofErr w:type="spellStart"/>
      <w:r w:rsidR="0035651F" w:rsidRPr="0035651F">
        <w:rPr>
          <w:rFonts w:ascii="Calibri" w:hAnsi="Calibri" w:cs="Calibri"/>
          <w:sz w:val="24"/>
        </w:rPr>
        <w:t>Kiljunen</w:t>
      </w:r>
      <w:proofErr w:type="spellEnd"/>
      <w:r w:rsidR="0035651F" w:rsidRPr="0035651F">
        <w:rPr>
          <w:rFonts w:ascii="Calibri" w:hAnsi="Calibri" w:cs="Calibri"/>
          <w:sz w:val="24"/>
        </w:rPr>
        <w:t xml:space="preserve"> et al., 2006)</w:t>
      </w:r>
      <w:r w:rsidR="0035651F">
        <w:rPr>
          <w:rFonts w:cstheme="minorHAnsi"/>
          <w:sz w:val="24"/>
          <w:szCs w:val="24"/>
          <w:lang w:val="en-GB"/>
        </w:rPr>
        <w:fldChar w:fldCharType="end"/>
      </w:r>
      <w:r w:rsidR="00467DD3" w:rsidRPr="000D1B18">
        <w:rPr>
          <w:rFonts w:cstheme="minorHAnsi"/>
          <w:sz w:val="24"/>
          <w:szCs w:val="24"/>
          <w:lang w:val="en-GB"/>
        </w:rPr>
        <w:t xml:space="preserve">, and crustaceans with C:N higher than 4.0 </w:t>
      </w:r>
      <w:r w:rsidR="0035651F">
        <w:rPr>
          <w:rFonts w:cstheme="minorHAnsi"/>
          <w:sz w:val="24"/>
          <w:szCs w:val="24"/>
          <w:lang w:val="en-GB"/>
        </w:rPr>
        <w:fldChar w:fldCharType="begin"/>
      </w:r>
      <w:r w:rsidR="0035651F">
        <w:rPr>
          <w:rFonts w:cstheme="minorHAnsi"/>
          <w:sz w:val="24"/>
          <w:szCs w:val="24"/>
          <w:lang w:val="en-GB"/>
        </w:rPr>
        <w:instrText xml:space="preserve"> ADDIN ZOTERO_ITEM CSL_CITATION {"citationID":"0vHeBH3H","properties":{"formattedCitation":"(El-Sabaawi et al., 2009)","plainCitation":"(El-Sabaawi et al., 2009)","noteIndex":0},"citationItems":[{"id":3864,"uris":["http://zotero.org/users/11688370/items/2L47B22C"],"itemData":{"id":3864,"type":"article-journal","container-title":"Marine Biology","DOI":"10.1007/s00227-008-1073-1","ISSN":"0025-3162, 1432-1793","issue":"3","journalAbbreviation":"Mar Biol","language":"en","page":"225-237","source":"DOI.org (Crossref)","title":"Characterizing dietary variability and trophic positions of coastal calanoid copepods: insight from stable isotopes and fatty acids","title-short":"Characterizing dietary variability and trophic positions of coastal calanoid copepods","volume":"156","author":[{"family":"El-Sabaawi","given":"Rana"},{"family":"Dower","given":"John F."},{"family":"Kainz","given":"Martin"},{"family":"Mazumder","given":"Asit"}],"issued":{"date-parts":[["2009",2]]}}}],"schema":"https://github.com/citation-style-language/schema/raw/master/csl-citation.json"} </w:instrText>
      </w:r>
      <w:r w:rsidR="0035651F">
        <w:rPr>
          <w:rFonts w:cstheme="minorHAnsi"/>
          <w:sz w:val="24"/>
          <w:szCs w:val="24"/>
          <w:lang w:val="en-GB"/>
        </w:rPr>
        <w:fldChar w:fldCharType="separate"/>
      </w:r>
      <w:r w:rsidR="0035651F" w:rsidRPr="0035651F">
        <w:rPr>
          <w:rFonts w:ascii="Calibri" w:hAnsi="Calibri" w:cs="Calibri"/>
          <w:sz w:val="24"/>
        </w:rPr>
        <w:t>(El-</w:t>
      </w:r>
      <w:proofErr w:type="spellStart"/>
      <w:r w:rsidR="0035651F" w:rsidRPr="0035651F">
        <w:rPr>
          <w:rFonts w:ascii="Calibri" w:hAnsi="Calibri" w:cs="Calibri"/>
          <w:sz w:val="24"/>
        </w:rPr>
        <w:t>Sabaawi</w:t>
      </w:r>
      <w:proofErr w:type="spellEnd"/>
      <w:r w:rsidR="0035651F" w:rsidRPr="0035651F">
        <w:rPr>
          <w:rFonts w:ascii="Calibri" w:hAnsi="Calibri" w:cs="Calibri"/>
          <w:sz w:val="24"/>
        </w:rPr>
        <w:t xml:space="preserve"> et al., 2009)</w:t>
      </w:r>
      <w:r w:rsidR="0035651F">
        <w:rPr>
          <w:rFonts w:cstheme="minorHAnsi"/>
          <w:sz w:val="24"/>
          <w:szCs w:val="24"/>
          <w:lang w:val="en-GB"/>
        </w:rPr>
        <w:fldChar w:fldCharType="end"/>
      </w:r>
      <w:r w:rsidR="00467DD3" w:rsidRPr="000D1B18">
        <w:rPr>
          <w:rFonts w:cstheme="minorHAnsi"/>
          <w:sz w:val="24"/>
          <w:szCs w:val="24"/>
          <w:lang w:val="en-GB"/>
        </w:rPr>
        <w:t>. No lipid correction was carried out in squid samples, as we analysed only the mantle tissue which had low lipid content (</w:t>
      </w:r>
      <w:proofErr w:type="gramStart"/>
      <w:r w:rsidR="00467DD3" w:rsidRPr="000D1B18">
        <w:rPr>
          <w:rFonts w:cstheme="minorHAnsi"/>
          <w:sz w:val="24"/>
          <w:szCs w:val="24"/>
          <w:lang w:val="en-GB"/>
        </w:rPr>
        <w:t>C:N</w:t>
      </w:r>
      <w:proofErr w:type="gramEnd"/>
      <w:r w:rsidR="00467DD3" w:rsidRPr="000D1B18">
        <w:rPr>
          <w:rFonts w:cstheme="minorHAnsi"/>
          <w:sz w:val="24"/>
          <w:szCs w:val="24"/>
          <w:lang w:val="en-GB"/>
        </w:rPr>
        <w:t xml:space="preserve"> = 3.6 ± 0.4). Additionally, due to their low lipid content</w:t>
      </w:r>
      <w:r w:rsidR="001B4313">
        <w:rPr>
          <w:rFonts w:cstheme="minorHAnsi"/>
          <w:sz w:val="24"/>
          <w:szCs w:val="24"/>
          <w:lang w:val="en-GB"/>
        </w:rPr>
        <w:t xml:space="preserve"> </w:t>
      </w:r>
      <w:r w:rsidR="001B4313">
        <w:rPr>
          <w:rFonts w:cstheme="minorHAnsi"/>
          <w:sz w:val="24"/>
          <w:szCs w:val="24"/>
          <w:lang w:val="en-GB"/>
        </w:rPr>
        <w:fldChar w:fldCharType="begin"/>
      </w:r>
      <w:r w:rsidR="001B4313">
        <w:rPr>
          <w:rFonts w:cstheme="minorHAnsi"/>
          <w:sz w:val="24"/>
          <w:szCs w:val="24"/>
          <w:lang w:val="en-GB"/>
        </w:rPr>
        <w:instrText xml:space="preserve"> ADDIN ZOTERO_ITEM CSL_CITATION {"citationID":"LmsNF9Ux","properties":{"formattedCitation":"(Kariotoglou and Mastronicolis, 2001; Lucas, 2009)","plainCitation":"(Kariotoglou and Mastronicolis, 2001; Lucas, 2009)","noteIndex":0},"citationItems":[{"id":3236,"uris":["http://zotero.org/users/11688370/items/ADY3MEXN"],"itemData":{"id":3236,"type":"article-journal","abstract":"The goal of this study is to elucidate and identify several sphingophosphonolipids from Aurelia aurita, an abundant but harmless Aegean jellyﬁsh, in which they have not previously been described. Total lipids of A. aurita were 0.031–0.036% of fresh tissue, and the lipid phosphorus content was 1.3–1.7% of total lipids. Phosphonolipids were 21.7% of phospholipids and consisted of a major ceramide aminoethylphosphonate (CAEP-I; 18.3%), as well as three minor CAEP (II, III, IV) methyl analogs at 1.3, 1.1, and 1.0%, respectively. The remaining phospholipid composition was: phosphatidylcholine, 44.5%, including 36.2% glycerylethers; phosphatidylethanolamine, 18.6%, including 4.5% glycerylethers; cardiolipin, 5.6%; phosphatidylinositol, 2.6%; and lysophosphatidylcholine, 5.0%. In CAEP-I, saturated fatty acids of 14–18 carbon chain length were 70.8% and were combined with 57.3% dihydroxy bases and 23.4% trihydroxy bases. The suite of the three minor CAEP methyl analogs were of the same lipid class based on the head group, but they separated into three different components because of their polarity as follows: CAEP-II and CAEP-III differentiation from the major CAEP-I was mainly due to the increased fatty acid unsaturation and not to a different long-chain base, but the CAEP-IV differentiation from CAEP-I, apart from fatty acid unsaturation, was due to the increased content of hydroxyl groups originated from both hydroxy fatty acids and trihydroxy long-chain bases. Saturated fatty acids were predominant in total (76.7%), polar (83.0%), and neutral lipids (67.6%) of A. aurita. The major phospholipid components of A. aurita were comparable to those previously found in a related organism (Pelagia noctiluca), which can injure humans.","container-title":"Lipids","DOI":"10.1007/s11745-001-0840-3","ISSN":"0024-4201, 1558-9307","issue":"11","journalAbbreviation":"Lipids","language":"en","page":"1255-1264","source":"DOI.org (Crossref)","title":"Sphingophosphonolipids, phospholipids, and fatty acids from aegean jellyfish Aurelia aurita","volume":"36","author":[{"family":"Kariotoglou","given":"Dimitrios M."},{"family":"Mastronicolis","given":"Sofia K."}],"issued":{"date-parts":[["2001",11]]}}},{"id":3878,"uris":["http://zotero.org/users/11688370/items/PKQU479C"],"itemData":{"id":3878,"type":"article-journal","abstract":"The size –weight relationships, percentage water, ash-free dry weight and biochemical (protein, lipid and carbohydrate) contents of the coronate jellyﬁsh species Periphylla periphylla have been analysed. A total of 48 medusae ranging in size from 13 to 80 mm bell diameter were collected from mesopelagic depths in the eastern Gulf of Mexico. The dry mass of whole medusae ranged from 1.12 to 10.53% of wet weight (mean 5.49%), while ash-free dry weight, a proxy for organic content, varied between 25.19 and 34.89% of dry weight (mean 30.14%). Preservation in 2% glutaraldehyde resulted in shrinkage in .75% of the medusae, with preserved bell diameters 2.9% to 28.6% smaller than the original fresh bell diameters. Preservation also produced a signiﬁcant adjustment to the bell diameter to wet weight relationship. With regard to biochemical content, the typical gelatinous zooplankton trend of low carbohydrate (mean 8.99 mg gDW21), intermediate lipid (mean 20.57 mg gDW21) and high protein (mean 63.71 mg gDW21) was observed. Although there was a high degree of variability in biochemistry, there was no apparent trend with size.","container-title":"Journal of the Marine Biological Association of the United Kingdom","DOI":"10.1017/S0025315408002804","ISSN":"0025-3154, 1469-7769","issue":"1","journalAbbreviation":"J. Mar. Biol. Ass.","language":"en","page":"77-81","source":"DOI.org (Crossref)","title":"Biochemical composition of the mesopelagic coronate jellyfish &lt;i&gt;Periphylla periphylla&lt;/i&gt; from the Gulf of Mexico","volume":"89","author":[{"family":"Lucas","given":"Cathy H."}],"issued":{"date-parts":[["2009",2]]}}}],"schema":"https://github.com/citation-style-language/schema/raw/master/csl-citation.json"} </w:instrText>
      </w:r>
      <w:r w:rsidR="001B4313">
        <w:rPr>
          <w:rFonts w:cstheme="minorHAnsi"/>
          <w:sz w:val="24"/>
          <w:szCs w:val="24"/>
          <w:lang w:val="en-GB"/>
        </w:rPr>
        <w:fldChar w:fldCharType="separate"/>
      </w:r>
      <w:r w:rsidR="001B4313" w:rsidRPr="001B4313">
        <w:rPr>
          <w:rFonts w:ascii="Calibri" w:hAnsi="Calibri" w:cs="Calibri"/>
          <w:sz w:val="24"/>
        </w:rPr>
        <w:t>(</w:t>
      </w:r>
      <w:proofErr w:type="spellStart"/>
      <w:r w:rsidR="001B4313" w:rsidRPr="001B4313">
        <w:rPr>
          <w:rFonts w:ascii="Calibri" w:hAnsi="Calibri" w:cs="Calibri"/>
          <w:sz w:val="24"/>
        </w:rPr>
        <w:t>Kariotoglou</w:t>
      </w:r>
      <w:proofErr w:type="spellEnd"/>
      <w:r w:rsidR="001B4313" w:rsidRPr="001B4313">
        <w:rPr>
          <w:rFonts w:ascii="Calibri" w:hAnsi="Calibri" w:cs="Calibri"/>
          <w:sz w:val="24"/>
        </w:rPr>
        <w:t xml:space="preserve"> and </w:t>
      </w:r>
      <w:proofErr w:type="spellStart"/>
      <w:r w:rsidR="001B4313" w:rsidRPr="001B4313">
        <w:rPr>
          <w:rFonts w:ascii="Calibri" w:hAnsi="Calibri" w:cs="Calibri"/>
          <w:sz w:val="24"/>
        </w:rPr>
        <w:t>Mastronicolis</w:t>
      </w:r>
      <w:proofErr w:type="spellEnd"/>
      <w:r w:rsidR="001B4313" w:rsidRPr="001B4313">
        <w:rPr>
          <w:rFonts w:ascii="Calibri" w:hAnsi="Calibri" w:cs="Calibri"/>
          <w:sz w:val="24"/>
        </w:rPr>
        <w:t>, 2001; Lucas, 2009)</w:t>
      </w:r>
      <w:r w:rsidR="001B4313">
        <w:rPr>
          <w:rFonts w:cstheme="minorHAnsi"/>
          <w:sz w:val="24"/>
          <w:szCs w:val="24"/>
          <w:lang w:val="en-GB"/>
        </w:rPr>
        <w:fldChar w:fldCharType="end"/>
      </w:r>
      <w:r w:rsidR="00467DD3" w:rsidRPr="000D1B18">
        <w:rPr>
          <w:rFonts w:cstheme="minorHAnsi"/>
          <w:sz w:val="24"/>
          <w:szCs w:val="24"/>
          <w:lang w:val="en-GB"/>
        </w:rPr>
        <w:t xml:space="preserve"> no lipid correction was applied to jellyfish samples. The equations used to correct the different taxonomic groups are shown in </w:t>
      </w:r>
      <w:r w:rsidR="00467DD3" w:rsidRPr="000D1B18">
        <w:rPr>
          <w:rFonts w:cstheme="minorHAnsi"/>
          <w:sz w:val="24"/>
          <w:szCs w:val="24"/>
          <w:lang w:val="en-GB"/>
        </w:rPr>
        <w:fldChar w:fldCharType="begin"/>
      </w:r>
      <w:r w:rsidR="00467DD3" w:rsidRPr="000D1B18">
        <w:rPr>
          <w:rFonts w:cstheme="minorHAnsi"/>
          <w:sz w:val="24"/>
          <w:szCs w:val="24"/>
          <w:lang w:val="en-GB"/>
        </w:rPr>
        <w:instrText xml:space="preserve"> REF _Ref144299619 \h </w:instrText>
      </w:r>
      <w:r w:rsidR="000D1B18" w:rsidRPr="000D1B18">
        <w:rPr>
          <w:rFonts w:cstheme="minorHAnsi"/>
          <w:sz w:val="24"/>
          <w:szCs w:val="24"/>
          <w:lang w:val="en-GB"/>
        </w:rPr>
        <w:instrText xml:space="preserve"> \* MERGEFORMAT </w:instrText>
      </w:r>
      <w:r w:rsidR="00467DD3" w:rsidRPr="000D1B18">
        <w:rPr>
          <w:rFonts w:cstheme="minorHAnsi"/>
          <w:sz w:val="24"/>
          <w:szCs w:val="24"/>
          <w:lang w:val="en-GB"/>
        </w:rPr>
      </w:r>
      <w:r w:rsidR="00467DD3" w:rsidRPr="000D1B18">
        <w:rPr>
          <w:rFonts w:cstheme="minorHAnsi"/>
          <w:sz w:val="24"/>
          <w:szCs w:val="24"/>
          <w:lang w:val="en-GB"/>
        </w:rPr>
        <w:fldChar w:fldCharType="separate"/>
      </w:r>
      <w:r w:rsidR="00467DD3" w:rsidRPr="000D1B18">
        <w:rPr>
          <w:rFonts w:cstheme="minorHAnsi"/>
          <w:sz w:val="24"/>
          <w:szCs w:val="24"/>
        </w:rPr>
        <w:t xml:space="preserve">Table </w:t>
      </w:r>
      <w:r w:rsidR="00467DD3" w:rsidRPr="000D1B18">
        <w:rPr>
          <w:rFonts w:cstheme="minorHAnsi"/>
          <w:noProof/>
          <w:sz w:val="24"/>
          <w:szCs w:val="24"/>
        </w:rPr>
        <w:t>1</w:t>
      </w:r>
      <w:r w:rsidR="00467DD3" w:rsidRPr="000D1B18">
        <w:rPr>
          <w:rFonts w:cstheme="minorHAnsi"/>
          <w:sz w:val="24"/>
          <w:szCs w:val="24"/>
          <w:lang w:val="en-GB"/>
        </w:rPr>
        <w:fldChar w:fldCharType="end"/>
      </w:r>
      <w:r w:rsidR="00467DD3" w:rsidRPr="000D1B18">
        <w:rPr>
          <w:rFonts w:cstheme="minorHAnsi"/>
          <w:sz w:val="24"/>
          <w:szCs w:val="24"/>
          <w:lang w:val="en-GB"/>
        </w:rPr>
        <w:t xml:space="preserve">. </w:t>
      </w:r>
    </w:p>
    <w:p w14:paraId="49F7C21B" w14:textId="77777777" w:rsidR="00467DD3" w:rsidRPr="000D1B18" w:rsidRDefault="00467DD3" w:rsidP="00467DD3">
      <w:pPr>
        <w:pStyle w:val="Caption"/>
        <w:keepNext/>
        <w:rPr>
          <w:rFonts w:cstheme="minorHAnsi"/>
          <w:lang w:val="en-GB"/>
        </w:rPr>
      </w:pPr>
      <w:bookmarkStart w:id="0" w:name="_Ref144299619"/>
      <w:r w:rsidRPr="000D1B18">
        <w:rPr>
          <w:rFonts w:cstheme="minorHAnsi"/>
        </w:rPr>
        <w:t xml:space="preserve">Table </w:t>
      </w:r>
      <w:r w:rsidRPr="000D1B18">
        <w:rPr>
          <w:rFonts w:cstheme="minorHAnsi"/>
          <w:noProof/>
        </w:rPr>
        <w:fldChar w:fldCharType="begin"/>
      </w:r>
      <w:r w:rsidRPr="000D1B18">
        <w:rPr>
          <w:rFonts w:cstheme="minorHAnsi"/>
          <w:noProof/>
        </w:rPr>
        <w:instrText xml:space="preserve"> SEQ Table \* ARABIC </w:instrText>
      </w:r>
      <w:r w:rsidRPr="000D1B18">
        <w:rPr>
          <w:rFonts w:cstheme="minorHAnsi"/>
          <w:noProof/>
        </w:rPr>
        <w:fldChar w:fldCharType="separate"/>
      </w:r>
      <w:r w:rsidRPr="000D1B18">
        <w:rPr>
          <w:rFonts w:cstheme="minorHAnsi"/>
          <w:noProof/>
        </w:rPr>
        <w:t>1</w:t>
      </w:r>
      <w:r w:rsidRPr="000D1B18">
        <w:rPr>
          <w:rFonts w:cstheme="minorHAnsi"/>
          <w:noProof/>
        </w:rPr>
        <w:fldChar w:fldCharType="end"/>
      </w:r>
      <w:bookmarkEnd w:id="0"/>
      <w:r w:rsidRPr="000D1B18">
        <w:rPr>
          <w:rFonts w:cstheme="minorHAnsi"/>
          <w:noProof/>
          <w:lang w:val="en-GB"/>
        </w:rPr>
        <w:t xml:space="preserve"> Equations applied for mathematical lipid correction of ẟ</w:t>
      </w:r>
      <w:r w:rsidRPr="000D1B18">
        <w:rPr>
          <w:rFonts w:cstheme="minorHAnsi"/>
          <w:noProof/>
          <w:vertAlign w:val="superscript"/>
          <w:lang w:val="en-GB"/>
        </w:rPr>
        <w:t>13</w:t>
      </w:r>
      <w:r w:rsidRPr="000D1B18">
        <w:rPr>
          <w:rFonts w:cstheme="minorHAnsi"/>
          <w:noProof/>
          <w:lang w:val="en-GB"/>
        </w:rPr>
        <w:t>C values in the different taxonomic groups</w:t>
      </w:r>
    </w:p>
    <w:tbl>
      <w:tblPr>
        <w:tblW w:w="9639" w:type="dxa"/>
        <w:tblLook w:val="04A0" w:firstRow="1" w:lastRow="0" w:firstColumn="1" w:lastColumn="0" w:noHBand="0" w:noVBand="1"/>
      </w:tblPr>
      <w:tblGrid>
        <w:gridCol w:w="1344"/>
        <w:gridCol w:w="5744"/>
        <w:gridCol w:w="2268"/>
        <w:gridCol w:w="283"/>
      </w:tblGrid>
      <w:tr w:rsidR="00467DD3" w:rsidRPr="000D1B18" w14:paraId="5BCF5FC2" w14:textId="77777777" w:rsidTr="00750558">
        <w:trPr>
          <w:trHeight w:val="240"/>
        </w:trPr>
        <w:tc>
          <w:tcPr>
            <w:tcW w:w="1344" w:type="dxa"/>
            <w:tcBorders>
              <w:top w:val="single" w:sz="4" w:space="0" w:color="auto"/>
              <w:left w:val="nil"/>
              <w:bottom w:val="single" w:sz="4" w:space="0" w:color="auto"/>
              <w:right w:val="nil"/>
            </w:tcBorders>
            <w:shd w:val="clear" w:color="auto" w:fill="auto"/>
            <w:noWrap/>
            <w:vAlign w:val="bottom"/>
            <w:hideMark/>
          </w:tcPr>
          <w:p w14:paraId="40DE6DA9" w14:textId="77777777" w:rsidR="00467DD3" w:rsidRPr="000D1B18" w:rsidRDefault="00467DD3" w:rsidP="00750558">
            <w:pPr>
              <w:spacing w:after="0" w:line="240" w:lineRule="auto"/>
              <w:rPr>
                <w:rFonts w:eastAsia="Times New Roman" w:cstheme="minorHAnsi"/>
                <w:b/>
                <w:bCs/>
                <w:color w:val="000000"/>
                <w:sz w:val="20"/>
                <w:szCs w:val="20"/>
              </w:rPr>
            </w:pPr>
            <w:r w:rsidRPr="000D1B18">
              <w:rPr>
                <w:rFonts w:eastAsia="Times New Roman" w:cstheme="minorHAnsi"/>
                <w:b/>
                <w:bCs/>
                <w:color w:val="000000"/>
                <w:sz w:val="20"/>
                <w:szCs w:val="20"/>
              </w:rPr>
              <w:t>Group</w:t>
            </w:r>
          </w:p>
        </w:tc>
        <w:tc>
          <w:tcPr>
            <w:tcW w:w="5744" w:type="dxa"/>
            <w:tcBorders>
              <w:top w:val="single" w:sz="4" w:space="0" w:color="auto"/>
              <w:left w:val="nil"/>
              <w:bottom w:val="single" w:sz="4" w:space="0" w:color="auto"/>
              <w:right w:val="nil"/>
            </w:tcBorders>
            <w:shd w:val="clear" w:color="auto" w:fill="auto"/>
            <w:noWrap/>
            <w:vAlign w:val="bottom"/>
            <w:hideMark/>
          </w:tcPr>
          <w:p w14:paraId="3021BCCB" w14:textId="77777777" w:rsidR="00467DD3" w:rsidRPr="000D1B18" w:rsidRDefault="00467DD3" w:rsidP="00750558">
            <w:pPr>
              <w:spacing w:after="0" w:line="240" w:lineRule="auto"/>
              <w:rPr>
                <w:rFonts w:eastAsia="Times New Roman" w:cstheme="minorHAnsi"/>
                <w:b/>
                <w:bCs/>
                <w:color w:val="000000"/>
                <w:sz w:val="20"/>
                <w:szCs w:val="20"/>
              </w:rPr>
            </w:pPr>
            <w:r w:rsidRPr="000D1B18">
              <w:rPr>
                <w:rFonts w:eastAsia="Times New Roman" w:cstheme="minorHAnsi"/>
                <w:b/>
                <w:bCs/>
                <w:color w:val="000000"/>
                <w:sz w:val="20"/>
                <w:szCs w:val="20"/>
              </w:rPr>
              <w:t>Equation</w:t>
            </w:r>
          </w:p>
        </w:tc>
        <w:tc>
          <w:tcPr>
            <w:tcW w:w="2551" w:type="dxa"/>
            <w:gridSpan w:val="2"/>
            <w:tcBorders>
              <w:top w:val="single" w:sz="4" w:space="0" w:color="auto"/>
              <w:left w:val="nil"/>
              <w:bottom w:val="single" w:sz="4" w:space="0" w:color="auto"/>
              <w:right w:val="nil"/>
            </w:tcBorders>
            <w:shd w:val="clear" w:color="auto" w:fill="auto"/>
            <w:noWrap/>
            <w:vAlign w:val="bottom"/>
            <w:hideMark/>
          </w:tcPr>
          <w:p w14:paraId="19548DC4" w14:textId="77777777" w:rsidR="00467DD3" w:rsidRPr="000D1B18" w:rsidRDefault="00467DD3" w:rsidP="00750558">
            <w:pPr>
              <w:spacing w:after="0" w:line="240" w:lineRule="auto"/>
              <w:rPr>
                <w:rFonts w:eastAsia="Times New Roman" w:cstheme="minorHAnsi"/>
                <w:b/>
                <w:bCs/>
                <w:color w:val="000000"/>
                <w:sz w:val="20"/>
                <w:szCs w:val="20"/>
              </w:rPr>
            </w:pPr>
            <w:r w:rsidRPr="000D1B18">
              <w:rPr>
                <w:rFonts w:eastAsia="Times New Roman" w:cstheme="minorHAnsi"/>
                <w:b/>
                <w:bCs/>
                <w:color w:val="000000"/>
                <w:sz w:val="20"/>
                <w:szCs w:val="20"/>
              </w:rPr>
              <w:t>Reference</w:t>
            </w:r>
          </w:p>
        </w:tc>
      </w:tr>
      <w:tr w:rsidR="00467DD3" w:rsidRPr="000D1B18" w14:paraId="092590A6" w14:textId="77777777" w:rsidTr="00750558">
        <w:trPr>
          <w:trHeight w:val="280"/>
        </w:trPr>
        <w:tc>
          <w:tcPr>
            <w:tcW w:w="1344" w:type="dxa"/>
            <w:tcBorders>
              <w:top w:val="nil"/>
              <w:left w:val="nil"/>
              <w:bottom w:val="nil"/>
              <w:right w:val="nil"/>
            </w:tcBorders>
            <w:shd w:val="clear" w:color="auto" w:fill="auto"/>
            <w:noWrap/>
            <w:vAlign w:val="bottom"/>
            <w:hideMark/>
          </w:tcPr>
          <w:p w14:paraId="3D998139" w14:textId="77777777"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rPr>
              <w:t>Zooplankton</w:t>
            </w:r>
          </w:p>
        </w:tc>
        <w:tc>
          <w:tcPr>
            <w:tcW w:w="5744" w:type="dxa"/>
            <w:tcBorders>
              <w:top w:val="nil"/>
              <w:left w:val="nil"/>
              <w:bottom w:val="nil"/>
              <w:right w:val="nil"/>
            </w:tcBorders>
            <w:shd w:val="clear" w:color="auto" w:fill="auto"/>
            <w:noWrap/>
            <w:vAlign w:val="bottom"/>
            <w:hideMark/>
          </w:tcPr>
          <w:p w14:paraId="44FF4930" w14:textId="77777777"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rPr>
              <w:t>ẟ</w:t>
            </w:r>
            <w:r w:rsidRPr="000D1B18">
              <w:rPr>
                <w:rFonts w:eastAsia="Times New Roman" w:cstheme="minorHAnsi"/>
                <w:color w:val="000000"/>
                <w:sz w:val="20"/>
                <w:szCs w:val="20"/>
                <w:vertAlign w:val="superscript"/>
              </w:rPr>
              <w:t>13</w:t>
            </w:r>
            <w:r w:rsidRPr="000D1B18">
              <w:rPr>
                <w:rFonts w:eastAsia="Times New Roman" w:cstheme="minorHAnsi"/>
                <w:color w:val="000000"/>
                <w:sz w:val="20"/>
                <w:szCs w:val="20"/>
              </w:rPr>
              <w:t>C</w:t>
            </w:r>
            <w:r w:rsidRPr="000D1B18">
              <w:rPr>
                <w:rFonts w:eastAsia="Times New Roman" w:cstheme="minorHAnsi"/>
                <w:color w:val="000000"/>
                <w:sz w:val="20"/>
                <w:szCs w:val="20"/>
                <w:vertAlign w:val="subscript"/>
              </w:rPr>
              <w:t>corrected</w:t>
            </w:r>
            <w:r w:rsidRPr="000D1B18">
              <w:rPr>
                <w:rFonts w:eastAsia="Times New Roman" w:cstheme="minorHAnsi"/>
                <w:color w:val="000000"/>
                <w:sz w:val="20"/>
                <w:szCs w:val="20"/>
              </w:rPr>
              <w:t xml:space="preserve"> = ẟ</w:t>
            </w:r>
            <w:r w:rsidRPr="000D1B18">
              <w:rPr>
                <w:rFonts w:eastAsia="Times New Roman" w:cstheme="minorHAnsi"/>
                <w:color w:val="000000"/>
                <w:sz w:val="20"/>
                <w:szCs w:val="20"/>
                <w:vertAlign w:val="superscript"/>
              </w:rPr>
              <w:t>13</w:t>
            </w:r>
            <w:r w:rsidRPr="000D1B18">
              <w:rPr>
                <w:rFonts w:eastAsia="Times New Roman" w:cstheme="minorHAnsi"/>
                <w:color w:val="000000"/>
                <w:sz w:val="20"/>
                <w:szCs w:val="20"/>
              </w:rPr>
              <w:t>C</w:t>
            </w:r>
            <w:r w:rsidRPr="000D1B18">
              <w:rPr>
                <w:rFonts w:eastAsia="Times New Roman" w:cstheme="minorHAnsi"/>
                <w:color w:val="000000"/>
                <w:sz w:val="20"/>
                <w:szCs w:val="20"/>
                <w:vertAlign w:val="subscript"/>
              </w:rPr>
              <w:t>Bulk</w:t>
            </w:r>
            <w:r w:rsidRPr="000D1B18">
              <w:rPr>
                <w:rFonts w:eastAsia="Times New Roman" w:cstheme="minorHAnsi"/>
                <w:color w:val="000000"/>
                <w:sz w:val="20"/>
                <w:szCs w:val="20"/>
              </w:rPr>
              <w:t xml:space="preserve"> + (3.388 - (3.388 x 3.314)/</w:t>
            </w:r>
            <w:proofErr w:type="spellStart"/>
            <w:proofErr w:type="gramStart"/>
            <w:r w:rsidRPr="000D1B18">
              <w:rPr>
                <w:rFonts w:eastAsia="Times New Roman" w:cstheme="minorHAnsi"/>
                <w:color w:val="000000"/>
                <w:sz w:val="20"/>
                <w:szCs w:val="20"/>
              </w:rPr>
              <w:t>C:N</w:t>
            </w:r>
            <w:r w:rsidRPr="000D1B18">
              <w:rPr>
                <w:rFonts w:eastAsia="Times New Roman" w:cstheme="minorHAnsi"/>
                <w:color w:val="000000"/>
                <w:sz w:val="20"/>
                <w:szCs w:val="20"/>
                <w:vertAlign w:val="subscript"/>
              </w:rPr>
              <w:t>Bulk</w:t>
            </w:r>
            <w:proofErr w:type="spellEnd"/>
            <w:proofErr w:type="gramEnd"/>
            <w:r w:rsidRPr="000D1B18">
              <w:rPr>
                <w:rFonts w:eastAsia="Times New Roman" w:cstheme="minorHAnsi"/>
                <w:color w:val="000000"/>
                <w:sz w:val="20"/>
                <w:szCs w:val="20"/>
              </w:rPr>
              <w:t>)</w:t>
            </w:r>
          </w:p>
        </w:tc>
        <w:tc>
          <w:tcPr>
            <w:tcW w:w="2551" w:type="dxa"/>
            <w:gridSpan w:val="2"/>
            <w:tcBorders>
              <w:top w:val="nil"/>
              <w:left w:val="nil"/>
              <w:bottom w:val="nil"/>
              <w:right w:val="nil"/>
            </w:tcBorders>
            <w:shd w:val="clear" w:color="auto" w:fill="auto"/>
            <w:noWrap/>
            <w:vAlign w:val="bottom"/>
            <w:hideMark/>
          </w:tcPr>
          <w:p w14:paraId="10A79C58" w14:textId="3939B0E3"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rPr>
              <w:t>Logan et al.</w:t>
            </w:r>
            <w:r w:rsidR="009C00F7">
              <w:rPr>
                <w:rFonts w:eastAsia="Times New Roman" w:cstheme="minorHAnsi"/>
                <w:color w:val="000000"/>
                <w:sz w:val="20"/>
                <w:szCs w:val="20"/>
              </w:rPr>
              <w:t>,</w:t>
            </w:r>
            <w:r w:rsidRPr="000D1B18">
              <w:rPr>
                <w:rFonts w:eastAsia="Times New Roman" w:cstheme="minorHAnsi"/>
                <w:color w:val="000000"/>
                <w:sz w:val="20"/>
                <w:szCs w:val="20"/>
              </w:rPr>
              <w:t xml:space="preserve"> 2008 </w:t>
            </w:r>
            <w:r w:rsidRPr="000D1B18">
              <w:rPr>
                <w:rFonts w:eastAsia="Times New Roman" w:cstheme="minorHAnsi"/>
                <w:color w:val="000000"/>
                <w:sz w:val="20"/>
                <w:szCs w:val="20"/>
                <w:vertAlign w:val="superscript"/>
              </w:rPr>
              <w:t>1</w:t>
            </w:r>
          </w:p>
        </w:tc>
      </w:tr>
      <w:tr w:rsidR="00467DD3" w:rsidRPr="000D1B18" w14:paraId="7602CA22" w14:textId="77777777" w:rsidTr="00750558">
        <w:trPr>
          <w:trHeight w:val="280"/>
        </w:trPr>
        <w:tc>
          <w:tcPr>
            <w:tcW w:w="1344" w:type="dxa"/>
            <w:tcBorders>
              <w:top w:val="nil"/>
              <w:left w:val="nil"/>
              <w:bottom w:val="nil"/>
              <w:right w:val="nil"/>
            </w:tcBorders>
            <w:shd w:val="clear" w:color="auto" w:fill="auto"/>
            <w:noWrap/>
            <w:vAlign w:val="bottom"/>
            <w:hideMark/>
          </w:tcPr>
          <w:p w14:paraId="012AD805" w14:textId="77777777"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rPr>
              <w:t>Euphausiids</w:t>
            </w:r>
          </w:p>
        </w:tc>
        <w:tc>
          <w:tcPr>
            <w:tcW w:w="5744" w:type="dxa"/>
            <w:tcBorders>
              <w:top w:val="nil"/>
              <w:left w:val="nil"/>
              <w:bottom w:val="nil"/>
              <w:right w:val="nil"/>
            </w:tcBorders>
            <w:shd w:val="clear" w:color="auto" w:fill="auto"/>
            <w:noWrap/>
            <w:vAlign w:val="bottom"/>
            <w:hideMark/>
          </w:tcPr>
          <w:p w14:paraId="63ADF5A1" w14:textId="77777777"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rPr>
              <w:t>ẟ</w:t>
            </w:r>
            <w:r w:rsidRPr="000D1B18">
              <w:rPr>
                <w:rFonts w:eastAsia="Times New Roman" w:cstheme="minorHAnsi"/>
                <w:color w:val="000000"/>
                <w:sz w:val="20"/>
                <w:szCs w:val="20"/>
                <w:vertAlign w:val="superscript"/>
              </w:rPr>
              <w:t>13</w:t>
            </w:r>
            <w:r w:rsidRPr="000D1B18">
              <w:rPr>
                <w:rFonts w:eastAsia="Times New Roman" w:cstheme="minorHAnsi"/>
                <w:color w:val="000000"/>
                <w:sz w:val="20"/>
                <w:szCs w:val="20"/>
              </w:rPr>
              <w:t>C</w:t>
            </w:r>
            <w:r w:rsidRPr="000D1B18">
              <w:rPr>
                <w:rFonts w:eastAsia="Times New Roman" w:cstheme="minorHAnsi"/>
                <w:color w:val="000000"/>
                <w:sz w:val="20"/>
                <w:szCs w:val="20"/>
                <w:vertAlign w:val="subscript"/>
              </w:rPr>
              <w:t>corrected</w:t>
            </w:r>
            <w:r w:rsidRPr="000D1B18">
              <w:rPr>
                <w:rFonts w:eastAsia="Times New Roman" w:cstheme="minorHAnsi"/>
                <w:color w:val="000000"/>
                <w:sz w:val="20"/>
                <w:szCs w:val="20"/>
              </w:rPr>
              <w:t xml:space="preserve"> = ẟ</w:t>
            </w:r>
            <w:r w:rsidRPr="000D1B18">
              <w:rPr>
                <w:rFonts w:eastAsia="Times New Roman" w:cstheme="minorHAnsi"/>
                <w:color w:val="000000"/>
                <w:sz w:val="20"/>
                <w:szCs w:val="20"/>
                <w:vertAlign w:val="superscript"/>
              </w:rPr>
              <w:t>13</w:t>
            </w:r>
            <w:r w:rsidRPr="000D1B18">
              <w:rPr>
                <w:rFonts w:eastAsia="Times New Roman" w:cstheme="minorHAnsi"/>
                <w:color w:val="000000"/>
                <w:sz w:val="20"/>
                <w:szCs w:val="20"/>
              </w:rPr>
              <w:t>C</w:t>
            </w:r>
            <w:r w:rsidRPr="000D1B18">
              <w:rPr>
                <w:rFonts w:eastAsia="Times New Roman" w:cstheme="minorHAnsi"/>
                <w:color w:val="000000"/>
                <w:sz w:val="20"/>
                <w:szCs w:val="20"/>
                <w:vertAlign w:val="subscript"/>
              </w:rPr>
              <w:t>Bulk</w:t>
            </w:r>
            <w:r w:rsidRPr="000D1B18">
              <w:rPr>
                <w:rFonts w:eastAsia="Times New Roman" w:cstheme="minorHAnsi"/>
                <w:color w:val="000000"/>
                <w:sz w:val="20"/>
                <w:szCs w:val="20"/>
              </w:rPr>
              <w:t xml:space="preserve"> + (6.941 - (6.941 x 3.346)/</w:t>
            </w:r>
            <w:proofErr w:type="spellStart"/>
            <w:proofErr w:type="gramStart"/>
            <w:r w:rsidRPr="000D1B18">
              <w:rPr>
                <w:rFonts w:eastAsia="Times New Roman" w:cstheme="minorHAnsi"/>
                <w:color w:val="000000"/>
                <w:sz w:val="20"/>
                <w:szCs w:val="20"/>
              </w:rPr>
              <w:t>C:N</w:t>
            </w:r>
            <w:r w:rsidRPr="000D1B18">
              <w:rPr>
                <w:rFonts w:eastAsia="Times New Roman" w:cstheme="minorHAnsi"/>
                <w:color w:val="000000"/>
                <w:sz w:val="20"/>
                <w:szCs w:val="20"/>
                <w:vertAlign w:val="subscript"/>
              </w:rPr>
              <w:t>Bulk</w:t>
            </w:r>
            <w:proofErr w:type="spellEnd"/>
            <w:proofErr w:type="gramEnd"/>
            <w:r w:rsidRPr="000D1B18">
              <w:rPr>
                <w:rFonts w:eastAsia="Times New Roman" w:cstheme="minorHAnsi"/>
                <w:color w:val="000000"/>
                <w:sz w:val="20"/>
                <w:szCs w:val="20"/>
              </w:rPr>
              <w:t>)</w:t>
            </w:r>
          </w:p>
        </w:tc>
        <w:tc>
          <w:tcPr>
            <w:tcW w:w="2551" w:type="dxa"/>
            <w:gridSpan w:val="2"/>
            <w:tcBorders>
              <w:top w:val="nil"/>
              <w:left w:val="nil"/>
              <w:bottom w:val="nil"/>
              <w:right w:val="nil"/>
            </w:tcBorders>
            <w:shd w:val="clear" w:color="auto" w:fill="auto"/>
            <w:noWrap/>
            <w:vAlign w:val="bottom"/>
            <w:hideMark/>
          </w:tcPr>
          <w:p w14:paraId="23B51C13" w14:textId="7543BE0B"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rPr>
              <w:t>Logan et al.</w:t>
            </w:r>
            <w:r w:rsidR="009C00F7">
              <w:rPr>
                <w:rFonts w:eastAsia="Times New Roman" w:cstheme="minorHAnsi"/>
                <w:color w:val="000000"/>
                <w:sz w:val="20"/>
                <w:szCs w:val="20"/>
              </w:rPr>
              <w:t>,</w:t>
            </w:r>
            <w:r w:rsidRPr="000D1B18">
              <w:rPr>
                <w:rFonts w:eastAsia="Times New Roman" w:cstheme="minorHAnsi"/>
                <w:color w:val="000000"/>
                <w:sz w:val="20"/>
                <w:szCs w:val="20"/>
              </w:rPr>
              <w:t xml:space="preserve"> 2008 </w:t>
            </w:r>
            <w:r w:rsidRPr="000D1B18">
              <w:rPr>
                <w:rFonts w:eastAsia="Times New Roman" w:cstheme="minorHAnsi"/>
                <w:color w:val="000000"/>
                <w:sz w:val="20"/>
                <w:szCs w:val="20"/>
                <w:vertAlign w:val="superscript"/>
              </w:rPr>
              <w:t>2</w:t>
            </w:r>
            <w:r w:rsidRPr="000D1B18">
              <w:rPr>
                <w:rFonts w:eastAsia="Times New Roman" w:cstheme="minorHAnsi"/>
                <w:color w:val="000000"/>
                <w:sz w:val="20"/>
                <w:szCs w:val="20"/>
              </w:rPr>
              <w:t xml:space="preserve">  </w:t>
            </w:r>
          </w:p>
        </w:tc>
      </w:tr>
      <w:tr w:rsidR="00467DD3" w:rsidRPr="000D1B18" w14:paraId="7689A93B" w14:textId="77777777" w:rsidTr="00750558">
        <w:trPr>
          <w:trHeight w:val="280"/>
        </w:trPr>
        <w:tc>
          <w:tcPr>
            <w:tcW w:w="1344" w:type="dxa"/>
            <w:tcBorders>
              <w:top w:val="nil"/>
              <w:left w:val="nil"/>
              <w:bottom w:val="nil"/>
              <w:right w:val="nil"/>
            </w:tcBorders>
            <w:shd w:val="clear" w:color="auto" w:fill="auto"/>
            <w:noWrap/>
            <w:vAlign w:val="bottom"/>
            <w:hideMark/>
          </w:tcPr>
          <w:p w14:paraId="64117442" w14:textId="77777777"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rPr>
              <w:t>Copepods</w:t>
            </w:r>
          </w:p>
        </w:tc>
        <w:tc>
          <w:tcPr>
            <w:tcW w:w="5744" w:type="dxa"/>
            <w:tcBorders>
              <w:top w:val="nil"/>
              <w:left w:val="nil"/>
              <w:bottom w:val="nil"/>
              <w:right w:val="nil"/>
            </w:tcBorders>
            <w:shd w:val="clear" w:color="auto" w:fill="auto"/>
            <w:noWrap/>
            <w:vAlign w:val="bottom"/>
            <w:hideMark/>
          </w:tcPr>
          <w:p w14:paraId="0CA5F633" w14:textId="77777777"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rPr>
              <w:t>ẟ</w:t>
            </w:r>
            <w:r w:rsidRPr="000D1B18">
              <w:rPr>
                <w:rFonts w:eastAsia="Times New Roman" w:cstheme="minorHAnsi"/>
                <w:color w:val="000000"/>
                <w:sz w:val="20"/>
                <w:szCs w:val="20"/>
                <w:vertAlign w:val="superscript"/>
              </w:rPr>
              <w:t>13</w:t>
            </w:r>
            <w:r w:rsidRPr="000D1B18">
              <w:rPr>
                <w:rFonts w:eastAsia="Times New Roman" w:cstheme="minorHAnsi"/>
                <w:color w:val="000000"/>
                <w:sz w:val="20"/>
                <w:szCs w:val="20"/>
              </w:rPr>
              <w:t>C</w:t>
            </w:r>
            <w:r w:rsidRPr="000D1B18">
              <w:rPr>
                <w:rFonts w:eastAsia="Times New Roman" w:cstheme="minorHAnsi"/>
                <w:color w:val="000000"/>
                <w:sz w:val="20"/>
                <w:szCs w:val="20"/>
                <w:vertAlign w:val="subscript"/>
              </w:rPr>
              <w:t>corrected</w:t>
            </w:r>
            <w:r w:rsidRPr="000D1B18">
              <w:rPr>
                <w:rFonts w:eastAsia="Times New Roman" w:cstheme="minorHAnsi"/>
                <w:color w:val="000000"/>
                <w:sz w:val="20"/>
                <w:szCs w:val="20"/>
              </w:rPr>
              <w:t xml:space="preserve"> = ẟ</w:t>
            </w:r>
            <w:r w:rsidRPr="000D1B18">
              <w:rPr>
                <w:rFonts w:eastAsia="Times New Roman" w:cstheme="minorHAnsi"/>
                <w:color w:val="000000"/>
                <w:sz w:val="20"/>
                <w:szCs w:val="20"/>
                <w:vertAlign w:val="superscript"/>
              </w:rPr>
              <w:t>13</w:t>
            </w:r>
            <w:r w:rsidRPr="000D1B18">
              <w:rPr>
                <w:rFonts w:eastAsia="Times New Roman" w:cstheme="minorHAnsi"/>
                <w:color w:val="000000"/>
                <w:sz w:val="20"/>
                <w:szCs w:val="20"/>
              </w:rPr>
              <w:t>C</w:t>
            </w:r>
            <w:r w:rsidRPr="000D1B18">
              <w:rPr>
                <w:rFonts w:eastAsia="Times New Roman" w:cstheme="minorHAnsi"/>
                <w:color w:val="000000"/>
                <w:sz w:val="20"/>
                <w:szCs w:val="20"/>
                <w:vertAlign w:val="subscript"/>
              </w:rPr>
              <w:t>Bulk</w:t>
            </w:r>
            <w:r w:rsidRPr="000D1B18">
              <w:rPr>
                <w:rFonts w:eastAsia="Times New Roman" w:cstheme="minorHAnsi"/>
                <w:color w:val="000000"/>
                <w:sz w:val="20"/>
                <w:szCs w:val="20"/>
              </w:rPr>
              <w:t xml:space="preserve"> + (-1.85 + (0.38 x </w:t>
            </w:r>
            <w:proofErr w:type="gramStart"/>
            <w:r w:rsidRPr="000D1B18">
              <w:rPr>
                <w:rFonts w:eastAsia="Times New Roman" w:cstheme="minorHAnsi"/>
                <w:color w:val="000000"/>
                <w:sz w:val="20"/>
                <w:szCs w:val="20"/>
              </w:rPr>
              <w:t>C:N</w:t>
            </w:r>
            <w:r w:rsidRPr="000D1B18">
              <w:rPr>
                <w:rFonts w:eastAsia="Times New Roman" w:cstheme="minorHAnsi"/>
                <w:color w:val="000000"/>
                <w:sz w:val="20"/>
                <w:szCs w:val="20"/>
                <w:vertAlign w:val="subscript"/>
              </w:rPr>
              <w:t>Bulk</w:t>
            </w:r>
            <w:proofErr w:type="gramEnd"/>
            <w:r w:rsidRPr="000D1B18">
              <w:rPr>
                <w:rFonts w:eastAsia="Times New Roman" w:cstheme="minorHAnsi"/>
                <w:color w:val="000000"/>
                <w:sz w:val="20"/>
                <w:szCs w:val="20"/>
              </w:rPr>
              <w:t>))</w:t>
            </w:r>
          </w:p>
        </w:tc>
        <w:tc>
          <w:tcPr>
            <w:tcW w:w="2551" w:type="dxa"/>
            <w:gridSpan w:val="2"/>
            <w:tcBorders>
              <w:top w:val="nil"/>
              <w:left w:val="nil"/>
              <w:bottom w:val="nil"/>
              <w:right w:val="nil"/>
            </w:tcBorders>
            <w:shd w:val="clear" w:color="auto" w:fill="auto"/>
            <w:noWrap/>
            <w:vAlign w:val="bottom"/>
            <w:hideMark/>
          </w:tcPr>
          <w:p w14:paraId="55E2BD6C" w14:textId="42DE9412"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rPr>
              <w:t>El-</w:t>
            </w:r>
            <w:proofErr w:type="spellStart"/>
            <w:r w:rsidRPr="000D1B18">
              <w:rPr>
                <w:rFonts w:eastAsia="Times New Roman" w:cstheme="minorHAnsi"/>
                <w:color w:val="000000"/>
                <w:sz w:val="20"/>
                <w:szCs w:val="20"/>
              </w:rPr>
              <w:t>Sabaawi</w:t>
            </w:r>
            <w:proofErr w:type="spellEnd"/>
            <w:r w:rsidRPr="000D1B18">
              <w:rPr>
                <w:rFonts w:eastAsia="Times New Roman" w:cstheme="minorHAnsi"/>
                <w:color w:val="000000"/>
                <w:sz w:val="20"/>
                <w:szCs w:val="20"/>
              </w:rPr>
              <w:t xml:space="preserve"> et al.</w:t>
            </w:r>
            <w:r w:rsidR="009C00F7">
              <w:rPr>
                <w:rFonts w:eastAsia="Times New Roman" w:cstheme="minorHAnsi"/>
                <w:color w:val="000000"/>
                <w:sz w:val="20"/>
                <w:szCs w:val="20"/>
              </w:rPr>
              <w:t>,</w:t>
            </w:r>
            <w:r w:rsidRPr="000D1B18">
              <w:rPr>
                <w:rFonts w:eastAsia="Times New Roman" w:cstheme="minorHAnsi"/>
                <w:color w:val="000000"/>
                <w:sz w:val="20"/>
                <w:szCs w:val="20"/>
              </w:rPr>
              <w:t xml:space="preserve"> 2009</w:t>
            </w:r>
          </w:p>
        </w:tc>
      </w:tr>
      <w:tr w:rsidR="00467DD3" w:rsidRPr="000D1B18" w14:paraId="53210FD1" w14:textId="77777777" w:rsidTr="00750558">
        <w:trPr>
          <w:trHeight w:val="280"/>
        </w:trPr>
        <w:tc>
          <w:tcPr>
            <w:tcW w:w="1344" w:type="dxa"/>
            <w:tcBorders>
              <w:top w:val="nil"/>
              <w:left w:val="nil"/>
              <w:bottom w:val="nil"/>
              <w:right w:val="nil"/>
            </w:tcBorders>
            <w:shd w:val="clear" w:color="auto" w:fill="auto"/>
            <w:noWrap/>
            <w:vAlign w:val="bottom"/>
            <w:hideMark/>
          </w:tcPr>
          <w:p w14:paraId="1A2E23D6" w14:textId="77777777"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rPr>
              <w:t>Fish</w:t>
            </w:r>
          </w:p>
        </w:tc>
        <w:tc>
          <w:tcPr>
            <w:tcW w:w="5744" w:type="dxa"/>
            <w:tcBorders>
              <w:top w:val="nil"/>
              <w:left w:val="nil"/>
              <w:bottom w:val="nil"/>
              <w:right w:val="nil"/>
            </w:tcBorders>
            <w:shd w:val="clear" w:color="auto" w:fill="auto"/>
            <w:noWrap/>
            <w:vAlign w:val="bottom"/>
            <w:hideMark/>
          </w:tcPr>
          <w:p w14:paraId="772195B1" w14:textId="77777777"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rPr>
              <w:t>ẟ</w:t>
            </w:r>
            <w:r w:rsidRPr="000D1B18">
              <w:rPr>
                <w:rFonts w:eastAsia="Times New Roman" w:cstheme="minorHAnsi"/>
                <w:color w:val="000000"/>
                <w:sz w:val="20"/>
                <w:szCs w:val="20"/>
                <w:vertAlign w:val="superscript"/>
              </w:rPr>
              <w:t>13</w:t>
            </w:r>
            <w:r w:rsidRPr="000D1B18">
              <w:rPr>
                <w:rFonts w:eastAsia="Times New Roman" w:cstheme="minorHAnsi"/>
                <w:color w:val="000000"/>
                <w:sz w:val="20"/>
                <w:szCs w:val="20"/>
              </w:rPr>
              <w:t>C</w:t>
            </w:r>
            <w:r w:rsidRPr="000D1B18">
              <w:rPr>
                <w:rFonts w:eastAsia="Times New Roman" w:cstheme="minorHAnsi"/>
                <w:color w:val="000000"/>
                <w:sz w:val="20"/>
                <w:szCs w:val="20"/>
                <w:vertAlign w:val="subscript"/>
              </w:rPr>
              <w:t>corrected</w:t>
            </w:r>
            <w:r w:rsidRPr="000D1B18">
              <w:rPr>
                <w:rFonts w:eastAsia="Times New Roman" w:cstheme="minorHAnsi"/>
                <w:color w:val="000000"/>
                <w:sz w:val="20"/>
                <w:szCs w:val="20"/>
              </w:rPr>
              <w:t xml:space="preserve"> = ẟ</w:t>
            </w:r>
            <w:r w:rsidRPr="000D1B18">
              <w:rPr>
                <w:rFonts w:eastAsia="Times New Roman" w:cstheme="minorHAnsi"/>
                <w:color w:val="000000"/>
                <w:sz w:val="20"/>
                <w:szCs w:val="20"/>
                <w:vertAlign w:val="superscript"/>
              </w:rPr>
              <w:t>13</w:t>
            </w:r>
            <w:r w:rsidRPr="000D1B18">
              <w:rPr>
                <w:rFonts w:eastAsia="Times New Roman" w:cstheme="minorHAnsi"/>
                <w:color w:val="000000"/>
                <w:sz w:val="20"/>
                <w:szCs w:val="20"/>
              </w:rPr>
              <w:t>C</w:t>
            </w:r>
            <w:r w:rsidRPr="000D1B18">
              <w:rPr>
                <w:rFonts w:eastAsia="Times New Roman" w:cstheme="minorHAnsi"/>
                <w:color w:val="000000"/>
                <w:sz w:val="20"/>
                <w:szCs w:val="20"/>
                <w:vertAlign w:val="subscript"/>
              </w:rPr>
              <w:t>Bulk</w:t>
            </w:r>
            <w:r w:rsidRPr="000D1B18">
              <w:rPr>
                <w:rFonts w:eastAsia="Times New Roman" w:cstheme="minorHAnsi"/>
                <w:color w:val="000000"/>
                <w:sz w:val="20"/>
                <w:szCs w:val="20"/>
              </w:rPr>
              <w:t xml:space="preserve"> + </w:t>
            </w:r>
            <w:r w:rsidRPr="000D1B18">
              <w:rPr>
                <w:rFonts w:eastAsia="Times New Roman" w:cstheme="minorHAnsi"/>
                <w:i/>
                <w:iCs/>
                <w:color w:val="000000"/>
                <w:sz w:val="20"/>
                <w:szCs w:val="20"/>
                <w:lang w:val="en-GB"/>
              </w:rPr>
              <w:t>D</w:t>
            </w:r>
            <w:r w:rsidRPr="000D1B18">
              <w:rPr>
                <w:rFonts w:eastAsia="Times New Roman" w:cstheme="minorHAnsi"/>
                <w:color w:val="000000"/>
                <w:sz w:val="20"/>
                <w:szCs w:val="20"/>
                <w:lang w:val="en-GB"/>
              </w:rPr>
              <w:t xml:space="preserve"> x (</w:t>
            </w:r>
            <w:r w:rsidRPr="000D1B18">
              <w:rPr>
                <w:rFonts w:eastAsia="Times New Roman" w:cstheme="minorHAnsi"/>
                <w:i/>
                <w:iCs/>
                <w:color w:val="000000"/>
                <w:sz w:val="20"/>
                <w:szCs w:val="20"/>
                <w:lang w:val="en-GB"/>
              </w:rPr>
              <w:t xml:space="preserve">I </w:t>
            </w:r>
            <w:r w:rsidRPr="000D1B18">
              <w:rPr>
                <w:rFonts w:eastAsia="Times New Roman" w:cstheme="minorHAnsi"/>
                <w:color w:val="000000"/>
                <w:sz w:val="20"/>
                <w:szCs w:val="20"/>
                <w:lang w:val="en-GB"/>
              </w:rPr>
              <w:t>+ (3.90 / (1 + (287/</w:t>
            </w:r>
            <w:r w:rsidRPr="000D1B18">
              <w:rPr>
                <w:rFonts w:eastAsia="Times New Roman" w:cstheme="minorHAnsi"/>
                <w:i/>
                <w:iCs/>
                <w:color w:val="000000"/>
                <w:sz w:val="20"/>
                <w:szCs w:val="20"/>
                <w:lang w:val="en-GB"/>
              </w:rPr>
              <w:t>L</w:t>
            </w:r>
            <w:r w:rsidRPr="000D1B18">
              <w:rPr>
                <w:rFonts w:eastAsia="Times New Roman" w:cstheme="minorHAnsi"/>
                <w:color w:val="000000"/>
                <w:sz w:val="20"/>
                <w:szCs w:val="20"/>
                <w:lang w:val="en-GB"/>
              </w:rPr>
              <w:t>))))</w:t>
            </w:r>
          </w:p>
        </w:tc>
        <w:tc>
          <w:tcPr>
            <w:tcW w:w="2551" w:type="dxa"/>
            <w:gridSpan w:val="2"/>
            <w:tcBorders>
              <w:top w:val="nil"/>
              <w:left w:val="nil"/>
              <w:bottom w:val="nil"/>
              <w:right w:val="nil"/>
            </w:tcBorders>
            <w:shd w:val="clear" w:color="auto" w:fill="auto"/>
            <w:noWrap/>
            <w:vAlign w:val="bottom"/>
            <w:hideMark/>
          </w:tcPr>
          <w:p w14:paraId="5E78960B" w14:textId="6FE35BEA" w:rsidR="00467DD3" w:rsidRPr="000D1B18" w:rsidRDefault="00467DD3" w:rsidP="00750558">
            <w:pPr>
              <w:spacing w:after="0" w:line="240" w:lineRule="auto"/>
              <w:rPr>
                <w:rFonts w:eastAsia="Times New Roman" w:cstheme="minorHAnsi"/>
                <w:color w:val="000000"/>
                <w:sz w:val="20"/>
                <w:szCs w:val="20"/>
              </w:rPr>
            </w:pPr>
            <w:proofErr w:type="spellStart"/>
            <w:r w:rsidRPr="000D1B18">
              <w:rPr>
                <w:rFonts w:eastAsia="Times New Roman" w:cstheme="minorHAnsi"/>
                <w:color w:val="000000"/>
                <w:sz w:val="20"/>
                <w:szCs w:val="20"/>
                <w:lang w:val="en-GB"/>
              </w:rPr>
              <w:t>Kiljunen</w:t>
            </w:r>
            <w:proofErr w:type="spellEnd"/>
            <w:r w:rsidRPr="000D1B18">
              <w:rPr>
                <w:rFonts w:eastAsia="Times New Roman" w:cstheme="minorHAnsi"/>
                <w:color w:val="000000"/>
                <w:sz w:val="20"/>
                <w:szCs w:val="20"/>
                <w:lang w:val="en-GB"/>
              </w:rPr>
              <w:t xml:space="preserve"> </w:t>
            </w:r>
            <w:r w:rsidRPr="000D1B18">
              <w:rPr>
                <w:rFonts w:eastAsia="Times New Roman" w:cstheme="minorHAnsi"/>
                <w:color w:val="000000"/>
                <w:sz w:val="20"/>
                <w:szCs w:val="20"/>
              </w:rPr>
              <w:t>et al.</w:t>
            </w:r>
            <w:r w:rsidR="009C00F7">
              <w:rPr>
                <w:rFonts w:eastAsia="Times New Roman" w:cstheme="minorHAnsi"/>
                <w:color w:val="000000"/>
                <w:sz w:val="20"/>
                <w:szCs w:val="20"/>
              </w:rPr>
              <w:t>,</w:t>
            </w:r>
            <w:r w:rsidRPr="000D1B18">
              <w:rPr>
                <w:rFonts w:eastAsia="Times New Roman" w:cstheme="minorHAnsi"/>
                <w:color w:val="000000"/>
                <w:sz w:val="20"/>
                <w:szCs w:val="20"/>
              </w:rPr>
              <w:t xml:space="preserve"> 200</w:t>
            </w:r>
            <w:r w:rsidRPr="000D1B18">
              <w:rPr>
                <w:rFonts w:eastAsia="Times New Roman" w:cstheme="minorHAnsi"/>
                <w:color w:val="000000"/>
                <w:sz w:val="20"/>
                <w:szCs w:val="20"/>
                <w:lang w:val="en-GB"/>
              </w:rPr>
              <w:t>6</w:t>
            </w:r>
            <w:r w:rsidRPr="000D1B18">
              <w:rPr>
                <w:rFonts w:eastAsia="Times New Roman" w:cstheme="minorHAnsi"/>
                <w:color w:val="000000"/>
                <w:sz w:val="20"/>
                <w:szCs w:val="20"/>
              </w:rPr>
              <w:t xml:space="preserve"> </w:t>
            </w:r>
            <w:r w:rsidRPr="000D1B18">
              <w:rPr>
                <w:rFonts w:eastAsia="Times New Roman" w:cstheme="minorHAnsi"/>
                <w:color w:val="000000"/>
                <w:sz w:val="20"/>
                <w:szCs w:val="20"/>
                <w:vertAlign w:val="superscript"/>
              </w:rPr>
              <w:t>3</w:t>
            </w:r>
          </w:p>
        </w:tc>
      </w:tr>
      <w:tr w:rsidR="00467DD3" w:rsidRPr="000D1B18" w14:paraId="30EE8CF8" w14:textId="77777777" w:rsidTr="00750558">
        <w:trPr>
          <w:trHeight w:val="280"/>
        </w:trPr>
        <w:tc>
          <w:tcPr>
            <w:tcW w:w="1344" w:type="dxa"/>
            <w:tcBorders>
              <w:top w:val="nil"/>
              <w:left w:val="nil"/>
              <w:bottom w:val="single" w:sz="4" w:space="0" w:color="auto"/>
              <w:right w:val="nil"/>
            </w:tcBorders>
            <w:shd w:val="clear" w:color="auto" w:fill="auto"/>
            <w:noWrap/>
            <w:vAlign w:val="bottom"/>
            <w:hideMark/>
          </w:tcPr>
          <w:p w14:paraId="3668AD60" w14:textId="77777777"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rPr>
              <w:t>Myctophids</w:t>
            </w:r>
          </w:p>
        </w:tc>
        <w:tc>
          <w:tcPr>
            <w:tcW w:w="5744" w:type="dxa"/>
            <w:tcBorders>
              <w:top w:val="nil"/>
              <w:left w:val="nil"/>
              <w:bottom w:val="single" w:sz="4" w:space="0" w:color="auto"/>
              <w:right w:val="nil"/>
            </w:tcBorders>
            <w:shd w:val="clear" w:color="auto" w:fill="auto"/>
            <w:noWrap/>
            <w:vAlign w:val="bottom"/>
            <w:hideMark/>
          </w:tcPr>
          <w:p w14:paraId="68D01DA7" w14:textId="77777777"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rPr>
              <w:t>ẟ</w:t>
            </w:r>
            <w:r w:rsidRPr="000D1B18">
              <w:rPr>
                <w:rFonts w:eastAsia="Times New Roman" w:cstheme="minorHAnsi"/>
                <w:color w:val="000000"/>
                <w:sz w:val="20"/>
                <w:szCs w:val="20"/>
                <w:vertAlign w:val="superscript"/>
              </w:rPr>
              <w:t>13</w:t>
            </w:r>
            <w:r w:rsidRPr="000D1B18">
              <w:rPr>
                <w:rFonts w:eastAsia="Times New Roman" w:cstheme="minorHAnsi"/>
                <w:color w:val="000000"/>
                <w:sz w:val="20"/>
                <w:szCs w:val="20"/>
              </w:rPr>
              <w:t>C</w:t>
            </w:r>
            <w:r w:rsidRPr="000D1B18">
              <w:rPr>
                <w:rFonts w:eastAsia="Times New Roman" w:cstheme="minorHAnsi"/>
                <w:color w:val="000000"/>
                <w:sz w:val="20"/>
                <w:szCs w:val="20"/>
                <w:vertAlign w:val="subscript"/>
              </w:rPr>
              <w:t>corrected</w:t>
            </w:r>
            <w:r w:rsidRPr="000D1B18">
              <w:rPr>
                <w:rFonts w:eastAsia="Times New Roman" w:cstheme="minorHAnsi"/>
                <w:color w:val="000000"/>
                <w:sz w:val="20"/>
                <w:szCs w:val="20"/>
              </w:rPr>
              <w:t xml:space="preserve"> = ẟ</w:t>
            </w:r>
            <w:r w:rsidRPr="000D1B18">
              <w:rPr>
                <w:rFonts w:eastAsia="Times New Roman" w:cstheme="minorHAnsi"/>
                <w:color w:val="000000"/>
                <w:sz w:val="20"/>
                <w:szCs w:val="20"/>
                <w:vertAlign w:val="superscript"/>
              </w:rPr>
              <w:t>13</w:t>
            </w:r>
            <w:r w:rsidRPr="000D1B18">
              <w:rPr>
                <w:rFonts w:eastAsia="Times New Roman" w:cstheme="minorHAnsi"/>
                <w:color w:val="000000"/>
                <w:sz w:val="20"/>
                <w:szCs w:val="20"/>
              </w:rPr>
              <w:t>C</w:t>
            </w:r>
            <w:r w:rsidRPr="000D1B18">
              <w:rPr>
                <w:rFonts w:eastAsia="Times New Roman" w:cstheme="minorHAnsi"/>
                <w:color w:val="000000"/>
                <w:sz w:val="20"/>
                <w:szCs w:val="20"/>
                <w:vertAlign w:val="subscript"/>
              </w:rPr>
              <w:t>Bulk</w:t>
            </w:r>
            <w:r w:rsidRPr="000D1B18">
              <w:rPr>
                <w:rFonts w:eastAsia="Times New Roman" w:cstheme="minorHAnsi"/>
                <w:color w:val="000000"/>
                <w:sz w:val="20"/>
                <w:szCs w:val="20"/>
              </w:rPr>
              <w:t xml:space="preserve"> + (-6.39 x (3.76 - </w:t>
            </w:r>
            <w:proofErr w:type="gramStart"/>
            <w:r w:rsidRPr="000D1B18">
              <w:rPr>
                <w:rFonts w:eastAsia="Times New Roman" w:cstheme="minorHAnsi"/>
                <w:color w:val="000000"/>
                <w:sz w:val="20"/>
                <w:szCs w:val="20"/>
              </w:rPr>
              <w:t>C:N</w:t>
            </w:r>
            <w:r w:rsidRPr="000D1B18">
              <w:rPr>
                <w:rFonts w:eastAsia="Times New Roman" w:cstheme="minorHAnsi"/>
                <w:color w:val="000000"/>
                <w:sz w:val="20"/>
                <w:szCs w:val="20"/>
                <w:vertAlign w:val="subscript"/>
              </w:rPr>
              <w:t>Bulk</w:t>
            </w:r>
            <w:proofErr w:type="gramEnd"/>
            <w:r w:rsidRPr="000D1B18">
              <w:rPr>
                <w:rFonts w:eastAsia="Times New Roman" w:cstheme="minorHAnsi"/>
                <w:color w:val="000000"/>
                <w:sz w:val="20"/>
                <w:szCs w:val="20"/>
              </w:rPr>
              <w:t>))/C:N</w:t>
            </w:r>
            <w:r w:rsidRPr="000D1B18">
              <w:rPr>
                <w:rFonts w:eastAsia="Times New Roman" w:cstheme="minorHAnsi"/>
                <w:color w:val="000000"/>
                <w:sz w:val="20"/>
                <w:szCs w:val="20"/>
                <w:vertAlign w:val="subscript"/>
              </w:rPr>
              <w:t>bulk</w:t>
            </w:r>
          </w:p>
        </w:tc>
        <w:tc>
          <w:tcPr>
            <w:tcW w:w="2551" w:type="dxa"/>
            <w:gridSpan w:val="2"/>
            <w:tcBorders>
              <w:top w:val="nil"/>
              <w:left w:val="nil"/>
              <w:bottom w:val="single" w:sz="4" w:space="0" w:color="auto"/>
              <w:right w:val="nil"/>
            </w:tcBorders>
            <w:shd w:val="clear" w:color="auto" w:fill="auto"/>
            <w:noWrap/>
            <w:vAlign w:val="bottom"/>
            <w:hideMark/>
          </w:tcPr>
          <w:p w14:paraId="130E9172" w14:textId="266985AB" w:rsidR="00467DD3" w:rsidRPr="000D1B18" w:rsidRDefault="009C00F7" w:rsidP="00750558">
            <w:pPr>
              <w:spacing w:after="0" w:line="240" w:lineRule="auto"/>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ADDIN ZOTERO_ITEM CSL_CITATION {"citationID":"S315kYM0","properties":{"formattedCitation":"(Hoffman and Sutton, 2010)","plainCitation":"(Hoffman and Sutton, 2010)","noteIndex":0},"citationItems":[{"id":3865,"uris":["http://zotero.org/users/11688370/items/87W4CI7J"],"itemData":{"id":3865,"type":"article-journal","abstract":"Stable isotope analysis of ﬁsh tissue can aid studies of deep-sea food webs because sampling difﬁculties severely limit sample sizes of ﬁsh for traditional diet studies. The carbon stable isotope ratio (d13C) is widely used in food web studies, but it must be corrected to remove variability associated with varying lipid content in the tissue. A lipid correction has not been determined for any deep-sea ﬁsh. These ﬁshes are ideal for studying lipid correction because lipid content varies widely among species. Our objective was to evaluate an application of a mass balance d13C correction to a taxonomically diverse group of deep-sea ﬁshes by determining the effect of lipid extraction on the stable isotope ratios, examining the quality of the model parameters derived for the mass balance correction, and comparing the correction to published results. We measured the lipid extraction effect on the nitrogen stable isotope ratio (d15N) and d13C of muscle tissue from 30 North Atlantic species. Lipid extraction signiﬁcantly increased tissue d15N ( + 0.66%) and d13C values, but the treatment effect on d13C was dependent on C:N, a proxy for lipid content. We compared the lipid-extracted d13C to the d13C predicted by the mass balance correction using model variables estimated from either all individuals (pooled) or species-by-species or using published values from other species. The correction using the species-by-species approach performed best; however, all three approaches produced corrected values that were generally within 0.5% of the measured lipid-free d13C and that had a small over-all bias ( o0.5%). We conclude that a generalized mass balance correction works well for correcting d13C in deep-sea ﬁshes, is similar to that developed for other ﬁshes, and recommend caution when applying a generalized correction to ﬁsh with high lipid content (C:N 4 8).","container-title":"Deep Sea Research Part I: Oceanographic Research Papers","DOI":"10.1016/j.dsr.2010.05.003","ISSN":"09670637","issue":"8","journalAbbreviation":"Deep Sea Research Part I: Oceanographic Research Papers","language":"en","page":"956-964","source":"DOI.org (Crossref)","title":"Lipid correction for carbon stable isotope analysis of deep-sea fishes","volume":"57","author":[{"family":"Hoffman","given":"Joel C."},{"family":"Sutton","given":"Tracey T."}],"issued":{"date-parts":[["2010",8]]}}}],"schema":"https://github.com/citation-style-language/schema/raw/master/csl-citation.json"} </w:instrText>
            </w:r>
            <w:r>
              <w:rPr>
                <w:rFonts w:eastAsia="Times New Roman" w:cstheme="minorHAnsi"/>
                <w:color w:val="000000"/>
                <w:sz w:val="20"/>
                <w:szCs w:val="20"/>
              </w:rPr>
              <w:fldChar w:fldCharType="separate"/>
            </w:r>
            <w:r w:rsidRPr="009C00F7">
              <w:rPr>
                <w:rFonts w:ascii="Calibri" w:hAnsi="Calibri" w:cs="Calibri"/>
                <w:sz w:val="20"/>
              </w:rPr>
              <w:t>Hoffman and Sutton, 2010</w:t>
            </w:r>
            <w:r>
              <w:rPr>
                <w:rFonts w:eastAsia="Times New Roman" w:cstheme="minorHAnsi"/>
                <w:color w:val="000000"/>
                <w:sz w:val="20"/>
                <w:szCs w:val="20"/>
              </w:rPr>
              <w:fldChar w:fldCharType="end"/>
            </w:r>
          </w:p>
        </w:tc>
      </w:tr>
      <w:tr w:rsidR="00467DD3" w:rsidRPr="000D1B18" w14:paraId="63EBD736" w14:textId="77777777" w:rsidTr="00750558">
        <w:trPr>
          <w:trHeight w:val="270"/>
        </w:trPr>
        <w:tc>
          <w:tcPr>
            <w:tcW w:w="9639" w:type="dxa"/>
            <w:gridSpan w:val="4"/>
            <w:tcBorders>
              <w:top w:val="nil"/>
              <w:left w:val="nil"/>
              <w:bottom w:val="nil"/>
              <w:right w:val="nil"/>
            </w:tcBorders>
            <w:shd w:val="clear" w:color="auto" w:fill="auto"/>
            <w:noWrap/>
            <w:vAlign w:val="bottom"/>
            <w:hideMark/>
          </w:tcPr>
          <w:p w14:paraId="4AA2D5AB" w14:textId="659F9D14"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vertAlign w:val="superscript"/>
              </w:rPr>
              <w:t>1</w:t>
            </w:r>
            <w:r w:rsidRPr="000D1B18">
              <w:rPr>
                <w:rFonts w:eastAsia="Times New Roman" w:cstheme="minorHAnsi"/>
                <w:color w:val="000000"/>
                <w:sz w:val="20"/>
                <w:szCs w:val="20"/>
              </w:rPr>
              <w:t xml:space="preserve">Equation 2 from </w:t>
            </w:r>
            <w:r w:rsidR="002E4D08">
              <w:rPr>
                <w:rFonts w:eastAsia="Times New Roman" w:cstheme="minorHAnsi"/>
                <w:color w:val="000000"/>
                <w:sz w:val="20"/>
                <w:szCs w:val="20"/>
              </w:rPr>
              <w:fldChar w:fldCharType="begin"/>
            </w:r>
            <w:r w:rsidR="002E4D08">
              <w:rPr>
                <w:rFonts w:eastAsia="Times New Roman" w:cstheme="minorHAnsi"/>
                <w:color w:val="000000"/>
                <w:sz w:val="20"/>
                <w:szCs w:val="20"/>
              </w:rPr>
              <w:instrText xml:space="preserve"> ADDIN ZOTERO_ITEM CSL_CITATION {"citationID":"TXQA1qaU","properties":{"formattedCitation":"(Logan et al., 2008)","plainCitation":"(Logan et al., 2008)","noteIndex":0},"citationItems":[{"id":3860,"uris":["http://zotero.org/users/11688370/items/5A6X6D4G"],"itemData":{"id":3860,"type":"article-journal","container-title":"Journal of Animal Ecology","DOI":"10.1111/j.1365-2656.2008.01394.x","ISSN":"0021-8790, 1365-2656","issue":"4","journalAbbreviation":"Journal of Animal Ecology","language":"en","page":"838-846","source":"DOI.org (Crossref)","title":"Lipid corrections in carbon and nitrogen stable isotope analyses: comparison of chemical extraction and modelling methods","title-short":"Lipid corrections in carbon and nitrogen stable isotope analyses","volume":"77","author":[{"family":"Logan","given":"John M."},{"family":"Jardine","given":"Timothy D."},{"family":"Miller","given":"Timothy J."},{"family":"Bunn","given":"Stuart E."},{"family":"Cunjak","given":"Richard A."},{"family":"Lutcavage","given":"Molly E."}],"issued":{"date-parts":[["2008",7]]}}}],"schema":"https://github.com/citation-style-language/schema/raw/master/csl-citation.json"} </w:instrText>
            </w:r>
            <w:r w:rsidR="002E4D08">
              <w:rPr>
                <w:rFonts w:eastAsia="Times New Roman" w:cstheme="minorHAnsi"/>
                <w:color w:val="000000"/>
                <w:sz w:val="20"/>
                <w:szCs w:val="20"/>
              </w:rPr>
              <w:fldChar w:fldCharType="separate"/>
            </w:r>
            <w:r w:rsidR="002E4D08" w:rsidRPr="002E4D08">
              <w:rPr>
                <w:rFonts w:ascii="Calibri" w:hAnsi="Calibri" w:cs="Calibri"/>
                <w:sz w:val="20"/>
              </w:rPr>
              <w:t xml:space="preserve">Logan et al. </w:t>
            </w:r>
            <w:r w:rsidR="00FC6882">
              <w:rPr>
                <w:rFonts w:ascii="Calibri" w:hAnsi="Calibri" w:cs="Calibri"/>
                <w:sz w:val="20"/>
              </w:rPr>
              <w:t>(</w:t>
            </w:r>
            <w:r w:rsidR="002E4D08" w:rsidRPr="002E4D08">
              <w:rPr>
                <w:rFonts w:ascii="Calibri" w:hAnsi="Calibri" w:cs="Calibri"/>
                <w:sz w:val="20"/>
              </w:rPr>
              <w:t>2008)</w:t>
            </w:r>
            <w:r w:rsidR="002E4D08">
              <w:rPr>
                <w:rFonts w:eastAsia="Times New Roman" w:cstheme="minorHAnsi"/>
                <w:color w:val="000000"/>
                <w:sz w:val="20"/>
                <w:szCs w:val="20"/>
              </w:rPr>
              <w:fldChar w:fldCharType="end"/>
            </w:r>
            <w:r w:rsidRPr="000D1B18">
              <w:rPr>
                <w:rFonts w:eastAsia="Times New Roman" w:cstheme="minorHAnsi"/>
                <w:color w:val="000000"/>
                <w:sz w:val="20"/>
                <w:szCs w:val="20"/>
                <w:lang w:val="en-GB"/>
              </w:rPr>
              <w:t>, modified from</w:t>
            </w:r>
            <w:r w:rsidRPr="000D1B18">
              <w:rPr>
                <w:rFonts w:eastAsia="Times New Roman" w:cstheme="minorHAnsi"/>
                <w:color w:val="000000"/>
                <w:sz w:val="20"/>
                <w:szCs w:val="20"/>
              </w:rPr>
              <w:t xml:space="preserve"> Fry (2002)</w:t>
            </w:r>
            <w:r w:rsidRPr="000D1B18">
              <w:rPr>
                <w:rFonts w:eastAsia="Times New Roman" w:cstheme="minorHAnsi"/>
                <w:color w:val="000000"/>
                <w:sz w:val="20"/>
                <w:szCs w:val="20"/>
                <w:lang w:val="en-GB"/>
              </w:rPr>
              <w:t>,</w:t>
            </w:r>
            <w:r w:rsidRPr="000D1B18">
              <w:rPr>
                <w:rFonts w:eastAsia="Times New Roman" w:cstheme="minorHAnsi"/>
                <w:color w:val="000000"/>
                <w:sz w:val="20"/>
                <w:szCs w:val="20"/>
              </w:rPr>
              <w:t xml:space="preserve"> with parameters for aquatic invertebrates (different species)</w:t>
            </w:r>
          </w:p>
        </w:tc>
      </w:tr>
      <w:tr w:rsidR="00467DD3" w:rsidRPr="000D1B18" w14:paraId="68B30844" w14:textId="77777777" w:rsidTr="00750558">
        <w:trPr>
          <w:trHeight w:val="270"/>
        </w:trPr>
        <w:tc>
          <w:tcPr>
            <w:tcW w:w="9356" w:type="dxa"/>
            <w:gridSpan w:val="3"/>
            <w:tcBorders>
              <w:top w:val="nil"/>
              <w:left w:val="nil"/>
              <w:bottom w:val="nil"/>
              <w:right w:val="nil"/>
            </w:tcBorders>
            <w:shd w:val="clear" w:color="auto" w:fill="auto"/>
            <w:noWrap/>
            <w:vAlign w:val="bottom"/>
            <w:hideMark/>
          </w:tcPr>
          <w:p w14:paraId="69AC2781" w14:textId="736E5542" w:rsidR="00467DD3" w:rsidRPr="000D1B18" w:rsidRDefault="00467DD3" w:rsidP="00750558">
            <w:pPr>
              <w:spacing w:after="0" w:line="240" w:lineRule="auto"/>
              <w:rPr>
                <w:rFonts w:eastAsia="Times New Roman" w:cstheme="minorHAnsi"/>
                <w:color w:val="000000"/>
                <w:sz w:val="20"/>
                <w:szCs w:val="20"/>
              </w:rPr>
            </w:pPr>
            <w:r w:rsidRPr="000D1B18">
              <w:rPr>
                <w:rFonts w:eastAsia="Times New Roman" w:cstheme="minorHAnsi"/>
                <w:color w:val="000000"/>
                <w:sz w:val="20"/>
                <w:szCs w:val="20"/>
                <w:vertAlign w:val="superscript"/>
              </w:rPr>
              <w:t>2</w:t>
            </w:r>
            <w:r w:rsidRPr="000D1B18">
              <w:rPr>
                <w:rFonts w:eastAsia="Times New Roman" w:cstheme="minorHAnsi"/>
                <w:color w:val="000000"/>
                <w:sz w:val="20"/>
                <w:szCs w:val="20"/>
              </w:rPr>
              <w:t xml:space="preserve">Equation 2 from Logan et al. </w:t>
            </w:r>
            <w:r w:rsidRPr="000D1B18">
              <w:rPr>
                <w:rFonts w:eastAsia="Times New Roman" w:cstheme="minorHAnsi"/>
                <w:color w:val="000000"/>
                <w:sz w:val="20"/>
                <w:szCs w:val="20"/>
                <w:lang w:val="en-GB"/>
              </w:rPr>
              <w:t>(</w:t>
            </w:r>
            <w:r w:rsidRPr="000D1B18">
              <w:rPr>
                <w:rFonts w:eastAsia="Times New Roman" w:cstheme="minorHAnsi"/>
                <w:color w:val="000000"/>
                <w:sz w:val="20"/>
                <w:szCs w:val="20"/>
              </w:rPr>
              <w:t>2008</w:t>
            </w:r>
            <w:r w:rsidRPr="000D1B18">
              <w:rPr>
                <w:rFonts w:eastAsia="Times New Roman" w:cstheme="minorHAnsi"/>
                <w:color w:val="000000"/>
                <w:sz w:val="20"/>
                <w:szCs w:val="20"/>
                <w:lang w:val="en-GB"/>
              </w:rPr>
              <w:t xml:space="preserve">), modified </w:t>
            </w:r>
            <w:r w:rsidRPr="000D1B18">
              <w:rPr>
                <w:rFonts w:eastAsia="Times New Roman" w:cstheme="minorHAnsi"/>
                <w:color w:val="000000"/>
                <w:sz w:val="20"/>
                <w:szCs w:val="20"/>
              </w:rPr>
              <w:t xml:space="preserve">from </w:t>
            </w:r>
            <w:r w:rsidR="004A7180">
              <w:rPr>
                <w:rFonts w:eastAsia="Times New Roman" w:cstheme="minorHAnsi"/>
                <w:color w:val="000000"/>
                <w:sz w:val="20"/>
                <w:szCs w:val="20"/>
              </w:rPr>
              <w:fldChar w:fldCharType="begin"/>
            </w:r>
            <w:r w:rsidR="004A7180">
              <w:rPr>
                <w:rFonts w:eastAsia="Times New Roman" w:cstheme="minorHAnsi"/>
                <w:color w:val="000000"/>
                <w:sz w:val="20"/>
                <w:szCs w:val="20"/>
              </w:rPr>
              <w:instrText xml:space="preserve"> ADDIN ZOTERO_ITEM CSL_CITATION {"citationID":"hzyNmS1w","properties":{"formattedCitation":"(Fry, 2002)","plainCitation":"(Fry, 2002)","noteIndex":0},"citationItems":[{"id":3948,"uris":["http://zotero.org/users/11688370/items/R2UAANDM"],"itemData":{"id":3948,"type":"article-journal","container-title":"Journal of the North American Benthological Society","title":"Stable isotope indicators of habitat use by Mississippi River fish","volume":"21","author":[{"family":"Fry","given":"B."}],"issued":{"date-parts":[["2002"]]}}}],"schema":"https://github.com/citation-style-language/schema/raw/master/csl-citation.json"} </w:instrText>
            </w:r>
            <w:r w:rsidR="004A7180">
              <w:rPr>
                <w:rFonts w:eastAsia="Times New Roman" w:cstheme="minorHAnsi"/>
                <w:color w:val="000000"/>
                <w:sz w:val="20"/>
                <w:szCs w:val="20"/>
              </w:rPr>
              <w:fldChar w:fldCharType="separate"/>
            </w:r>
            <w:r w:rsidR="004A7180" w:rsidRPr="004A7180">
              <w:rPr>
                <w:rFonts w:ascii="Calibri" w:hAnsi="Calibri" w:cs="Calibri"/>
                <w:sz w:val="20"/>
              </w:rPr>
              <w:t xml:space="preserve">Fry </w:t>
            </w:r>
            <w:r w:rsidR="002C7854">
              <w:rPr>
                <w:rFonts w:ascii="Calibri" w:hAnsi="Calibri" w:cs="Calibri"/>
                <w:sz w:val="20"/>
              </w:rPr>
              <w:t>(</w:t>
            </w:r>
            <w:r w:rsidR="004A7180" w:rsidRPr="004A7180">
              <w:rPr>
                <w:rFonts w:ascii="Calibri" w:hAnsi="Calibri" w:cs="Calibri"/>
                <w:sz w:val="20"/>
              </w:rPr>
              <w:t>2002)</w:t>
            </w:r>
            <w:r w:rsidR="004A7180">
              <w:rPr>
                <w:rFonts w:eastAsia="Times New Roman" w:cstheme="minorHAnsi"/>
                <w:color w:val="000000"/>
                <w:sz w:val="20"/>
                <w:szCs w:val="20"/>
              </w:rPr>
              <w:fldChar w:fldCharType="end"/>
            </w:r>
            <w:r w:rsidRPr="000D1B18">
              <w:rPr>
                <w:rFonts w:eastAsia="Times New Roman" w:cstheme="minorHAnsi"/>
                <w:color w:val="000000"/>
                <w:sz w:val="20"/>
                <w:szCs w:val="20"/>
                <w:lang w:val="en-GB"/>
              </w:rPr>
              <w:t>,</w:t>
            </w:r>
            <w:r w:rsidRPr="000D1B18">
              <w:rPr>
                <w:rFonts w:eastAsia="Times New Roman" w:cstheme="minorHAnsi"/>
                <w:color w:val="000000"/>
                <w:sz w:val="20"/>
                <w:szCs w:val="20"/>
              </w:rPr>
              <w:t xml:space="preserve"> with parameters for krill (</w:t>
            </w:r>
            <w:proofErr w:type="spellStart"/>
            <w:r w:rsidRPr="000D1B18">
              <w:rPr>
                <w:rFonts w:eastAsia="Times New Roman" w:cstheme="minorHAnsi"/>
                <w:color w:val="000000"/>
                <w:sz w:val="20"/>
                <w:szCs w:val="20"/>
              </w:rPr>
              <w:t>Euphausiidae</w:t>
            </w:r>
            <w:proofErr w:type="spellEnd"/>
            <w:r w:rsidRPr="000D1B18">
              <w:rPr>
                <w:rFonts w:eastAsia="Times New Roman" w:cstheme="minorHAnsi"/>
                <w:color w:val="000000"/>
                <w:sz w:val="20"/>
                <w:szCs w:val="20"/>
              </w:rPr>
              <w:t>)</w:t>
            </w:r>
          </w:p>
        </w:tc>
        <w:tc>
          <w:tcPr>
            <w:tcW w:w="283" w:type="dxa"/>
            <w:tcBorders>
              <w:top w:val="nil"/>
              <w:left w:val="nil"/>
              <w:bottom w:val="nil"/>
              <w:right w:val="nil"/>
            </w:tcBorders>
            <w:shd w:val="clear" w:color="auto" w:fill="auto"/>
            <w:noWrap/>
            <w:vAlign w:val="bottom"/>
            <w:hideMark/>
          </w:tcPr>
          <w:p w14:paraId="0C74677E" w14:textId="77777777" w:rsidR="00467DD3" w:rsidRPr="000D1B18" w:rsidRDefault="00467DD3" w:rsidP="00750558">
            <w:pPr>
              <w:spacing w:after="0" w:line="240" w:lineRule="auto"/>
              <w:rPr>
                <w:rFonts w:eastAsia="Times New Roman" w:cstheme="minorHAnsi"/>
                <w:color w:val="000000"/>
                <w:sz w:val="20"/>
                <w:szCs w:val="20"/>
              </w:rPr>
            </w:pPr>
          </w:p>
        </w:tc>
      </w:tr>
      <w:tr w:rsidR="00467DD3" w:rsidRPr="000D1B18" w14:paraId="38BD416D" w14:textId="77777777" w:rsidTr="00750558">
        <w:trPr>
          <w:trHeight w:val="270"/>
        </w:trPr>
        <w:tc>
          <w:tcPr>
            <w:tcW w:w="9639" w:type="dxa"/>
            <w:gridSpan w:val="4"/>
            <w:tcBorders>
              <w:top w:val="nil"/>
              <w:left w:val="nil"/>
              <w:bottom w:val="nil"/>
              <w:right w:val="nil"/>
            </w:tcBorders>
            <w:shd w:val="clear" w:color="auto" w:fill="auto"/>
            <w:noWrap/>
            <w:vAlign w:val="bottom"/>
            <w:hideMark/>
          </w:tcPr>
          <w:p w14:paraId="3750FB16" w14:textId="2A367868" w:rsidR="00467DD3" w:rsidRPr="000D1B18" w:rsidRDefault="00467DD3" w:rsidP="00750558">
            <w:pPr>
              <w:spacing w:after="0" w:line="240" w:lineRule="auto"/>
              <w:rPr>
                <w:rFonts w:eastAsia="Times New Roman" w:cstheme="minorHAnsi"/>
                <w:color w:val="000000"/>
                <w:sz w:val="20"/>
                <w:szCs w:val="20"/>
                <w:lang w:val="en-GB"/>
              </w:rPr>
            </w:pPr>
            <w:r w:rsidRPr="000D1B18">
              <w:rPr>
                <w:rFonts w:eastAsia="Times New Roman" w:cstheme="minorHAnsi"/>
                <w:color w:val="000000"/>
                <w:sz w:val="20"/>
                <w:szCs w:val="20"/>
                <w:vertAlign w:val="superscript"/>
              </w:rPr>
              <w:t>3</w:t>
            </w:r>
            <w:r w:rsidRPr="000D1B18">
              <w:rPr>
                <w:rFonts w:eastAsia="Times New Roman" w:cstheme="minorHAnsi"/>
                <w:color w:val="000000"/>
                <w:sz w:val="20"/>
                <w:szCs w:val="20"/>
              </w:rPr>
              <w:t xml:space="preserve">Equation from </w:t>
            </w:r>
            <w:proofErr w:type="spellStart"/>
            <w:r w:rsidRPr="000D1B18">
              <w:rPr>
                <w:rFonts w:eastAsia="Times New Roman" w:cstheme="minorHAnsi"/>
                <w:color w:val="000000"/>
                <w:sz w:val="20"/>
                <w:szCs w:val="20"/>
                <w:lang w:val="en-GB"/>
              </w:rPr>
              <w:t>Kiljunen</w:t>
            </w:r>
            <w:proofErr w:type="spellEnd"/>
            <w:r w:rsidRPr="000D1B18">
              <w:rPr>
                <w:rFonts w:eastAsia="Times New Roman" w:cstheme="minorHAnsi"/>
                <w:color w:val="000000"/>
                <w:sz w:val="20"/>
                <w:szCs w:val="20"/>
                <w:lang w:val="en-GB"/>
              </w:rPr>
              <w:t xml:space="preserve"> </w:t>
            </w:r>
            <w:r w:rsidRPr="000D1B18">
              <w:rPr>
                <w:rFonts w:eastAsia="Times New Roman" w:cstheme="minorHAnsi"/>
                <w:color w:val="000000"/>
                <w:sz w:val="20"/>
                <w:szCs w:val="20"/>
              </w:rPr>
              <w:t xml:space="preserve">et al. </w:t>
            </w:r>
            <w:r w:rsidRPr="000D1B18">
              <w:rPr>
                <w:rFonts w:eastAsia="Times New Roman" w:cstheme="minorHAnsi"/>
                <w:color w:val="000000"/>
                <w:sz w:val="20"/>
                <w:szCs w:val="20"/>
                <w:lang w:val="en-GB"/>
              </w:rPr>
              <w:t>(</w:t>
            </w:r>
            <w:r w:rsidRPr="000D1B18">
              <w:rPr>
                <w:rFonts w:eastAsia="Times New Roman" w:cstheme="minorHAnsi"/>
                <w:color w:val="000000"/>
                <w:sz w:val="20"/>
                <w:szCs w:val="20"/>
              </w:rPr>
              <w:t>200</w:t>
            </w:r>
            <w:r w:rsidRPr="000D1B18">
              <w:rPr>
                <w:rFonts w:eastAsia="Times New Roman" w:cstheme="minorHAnsi"/>
                <w:color w:val="000000"/>
                <w:sz w:val="20"/>
                <w:szCs w:val="20"/>
                <w:lang w:val="en-GB"/>
              </w:rPr>
              <w:t xml:space="preserve">6), </w:t>
            </w:r>
            <w:r w:rsidRPr="000D1B18">
              <w:rPr>
                <w:rFonts w:eastAsia="Times New Roman" w:cstheme="minorHAnsi"/>
                <w:color w:val="000000"/>
                <w:sz w:val="20"/>
                <w:szCs w:val="20"/>
              </w:rPr>
              <w:t xml:space="preserve">modified from </w:t>
            </w:r>
            <w:r w:rsidR="003B3755">
              <w:rPr>
                <w:rFonts w:eastAsia="Times New Roman" w:cstheme="minorHAnsi"/>
                <w:color w:val="000000"/>
                <w:sz w:val="20"/>
                <w:szCs w:val="20"/>
              </w:rPr>
              <w:fldChar w:fldCharType="begin"/>
            </w:r>
            <w:r w:rsidR="003B3755">
              <w:rPr>
                <w:rFonts w:eastAsia="Times New Roman" w:cstheme="minorHAnsi"/>
                <w:color w:val="000000"/>
                <w:sz w:val="20"/>
                <w:szCs w:val="20"/>
              </w:rPr>
              <w:instrText xml:space="preserve"> ADDIN ZOTERO_ITEM CSL_CITATION {"citationID":"QNXSTeGS","properties":{"formattedCitation":"(McConnaughey and McRoy, 1979)","plainCitation":"(McConnaughey and McRoy, 1979)","noteIndex":0},"citationItems":[{"id":3861,"uris":["http://zotero.org/users/11688370/items/ZYNQT7JG"],"itemData":{"id":3861,"type":"article-journal","container-title":"Marine Biology","DOI":"10.1007/BF00952434","ISSN":"0025-3162, 1432-1793","issue":"3","journalAbbreviation":"Mar. Biol.","language":"en","page":"257-262","source":"DOI.org (Crossref)","title":"Food-Web structure and the fractionation of Carbon isotopes in the bering sea","volume":"53","author":[{"family":"McConnaughey","given":"T."},{"family":"McRoy","given":"C. P."}],"issued":{"date-parts":[["1979"]]}}}],"schema":"https://github.com/citation-style-language/schema/raw/master/csl-citation.json"} </w:instrText>
            </w:r>
            <w:r w:rsidR="003B3755">
              <w:rPr>
                <w:rFonts w:eastAsia="Times New Roman" w:cstheme="minorHAnsi"/>
                <w:color w:val="000000"/>
                <w:sz w:val="20"/>
                <w:szCs w:val="20"/>
              </w:rPr>
              <w:fldChar w:fldCharType="separate"/>
            </w:r>
            <w:r w:rsidR="003B3755" w:rsidRPr="003B3755">
              <w:rPr>
                <w:rFonts w:ascii="Calibri" w:hAnsi="Calibri" w:cs="Calibri"/>
                <w:sz w:val="20"/>
              </w:rPr>
              <w:t xml:space="preserve">McConnaughey and McRoy </w:t>
            </w:r>
            <w:r w:rsidR="001A0FCE">
              <w:rPr>
                <w:rFonts w:ascii="Calibri" w:hAnsi="Calibri" w:cs="Calibri"/>
                <w:sz w:val="20"/>
              </w:rPr>
              <w:t>(</w:t>
            </w:r>
            <w:r w:rsidR="003B3755" w:rsidRPr="003B3755">
              <w:rPr>
                <w:rFonts w:ascii="Calibri" w:hAnsi="Calibri" w:cs="Calibri"/>
                <w:sz w:val="20"/>
              </w:rPr>
              <w:t>1979)</w:t>
            </w:r>
            <w:r w:rsidR="003B3755">
              <w:rPr>
                <w:rFonts w:eastAsia="Times New Roman" w:cstheme="minorHAnsi"/>
                <w:color w:val="000000"/>
                <w:sz w:val="20"/>
                <w:szCs w:val="20"/>
              </w:rPr>
              <w:fldChar w:fldCharType="end"/>
            </w:r>
            <w:r w:rsidRPr="000D1B18">
              <w:rPr>
                <w:rFonts w:eastAsia="Times New Roman" w:cstheme="minorHAnsi"/>
                <w:color w:val="000000"/>
                <w:sz w:val="20"/>
                <w:szCs w:val="20"/>
              </w:rPr>
              <w:t xml:space="preserve">, with parameters for fish </w:t>
            </w:r>
            <w:r w:rsidRPr="000D1B18">
              <w:rPr>
                <w:rFonts w:eastAsia="Times New Roman" w:cstheme="minorHAnsi"/>
                <w:color w:val="000000"/>
                <w:sz w:val="20"/>
                <w:szCs w:val="20"/>
                <w:lang w:val="en-GB"/>
              </w:rPr>
              <w:t xml:space="preserve">tissue: </w:t>
            </w:r>
            <w:r w:rsidRPr="000D1B18">
              <w:rPr>
                <w:rFonts w:eastAsia="Times New Roman" w:cstheme="minorHAnsi"/>
                <w:i/>
                <w:iCs/>
                <w:color w:val="000000"/>
                <w:sz w:val="20"/>
                <w:szCs w:val="20"/>
                <w:lang w:val="en-GB"/>
              </w:rPr>
              <w:t xml:space="preserve">L </w:t>
            </w:r>
            <w:r w:rsidRPr="000D1B18">
              <w:rPr>
                <w:rFonts w:eastAsia="Times New Roman" w:cstheme="minorHAnsi"/>
                <w:color w:val="000000"/>
                <w:sz w:val="20"/>
                <w:szCs w:val="20"/>
                <w:lang w:val="en-GB"/>
              </w:rPr>
              <w:t>= 93 / (1 + (0.246 x (</w:t>
            </w:r>
            <w:r w:rsidRPr="000D1B18">
              <w:rPr>
                <w:rFonts w:eastAsia="Times New Roman" w:cstheme="minorHAnsi"/>
                <w:color w:val="000000"/>
                <w:sz w:val="20"/>
                <w:szCs w:val="20"/>
              </w:rPr>
              <w:t>C:N</w:t>
            </w:r>
            <w:r w:rsidRPr="000D1B18">
              <w:rPr>
                <w:rFonts w:eastAsia="Times New Roman" w:cstheme="minorHAnsi"/>
                <w:color w:val="000000"/>
                <w:sz w:val="20"/>
                <w:szCs w:val="20"/>
                <w:vertAlign w:val="subscript"/>
              </w:rPr>
              <w:t>Bulk</w:t>
            </w:r>
            <w:r w:rsidRPr="000D1B18">
              <w:rPr>
                <w:rFonts w:eastAsia="Times New Roman" w:cstheme="minorHAnsi"/>
                <w:color w:val="000000"/>
                <w:sz w:val="20"/>
                <w:szCs w:val="20"/>
                <w:lang w:val="en-GB"/>
              </w:rPr>
              <w:t>) – 0.775)</w:t>
            </w:r>
            <w:r w:rsidRPr="000D1B18">
              <w:rPr>
                <w:rFonts w:eastAsia="Times New Roman" w:cstheme="minorHAnsi"/>
                <w:color w:val="000000"/>
                <w:sz w:val="20"/>
                <w:szCs w:val="20"/>
                <w:vertAlign w:val="superscript"/>
                <w:lang w:val="en-GB"/>
              </w:rPr>
              <w:t>-1</w:t>
            </w:r>
            <w:r w:rsidRPr="000D1B18">
              <w:rPr>
                <w:rFonts w:eastAsia="Times New Roman" w:cstheme="minorHAnsi"/>
                <w:color w:val="000000"/>
                <w:sz w:val="20"/>
                <w:szCs w:val="20"/>
                <w:lang w:val="en-GB"/>
              </w:rPr>
              <w:t xml:space="preserve">; </w:t>
            </w:r>
            <w:r w:rsidRPr="000D1B18">
              <w:rPr>
                <w:rFonts w:eastAsia="Times New Roman" w:cstheme="minorHAnsi"/>
                <w:i/>
                <w:iCs/>
                <w:color w:val="000000"/>
                <w:sz w:val="20"/>
                <w:szCs w:val="20"/>
                <w:lang w:val="en-GB"/>
              </w:rPr>
              <w:t>D</w:t>
            </w:r>
            <w:r w:rsidRPr="000D1B18">
              <w:rPr>
                <w:rFonts w:eastAsia="Times New Roman" w:cstheme="minorHAnsi"/>
                <w:color w:val="000000"/>
                <w:sz w:val="20"/>
                <w:szCs w:val="20"/>
                <w:lang w:val="en-GB"/>
              </w:rPr>
              <w:t xml:space="preserve"> = 7.018; </w:t>
            </w:r>
            <w:r w:rsidRPr="000D1B18">
              <w:rPr>
                <w:rFonts w:eastAsia="Times New Roman" w:cstheme="minorHAnsi"/>
                <w:i/>
                <w:iCs/>
                <w:color w:val="000000"/>
                <w:sz w:val="20"/>
                <w:szCs w:val="20"/>
                <w:lang w:val="en-GB"/>
              </w:rPr>
              <w:t>I</w:t>
            </w:r>
            <w:r w:rsidRPr="000D1B18">
              <w:rPr>
                <w:rFonts w:eastAsia="Times New Roman" w:cstheme="minorHAnsi"/>
                <w:color w:val="000000"/>
                <w:sz w:val="20"/>
                <w:szCs w:val="20"/>
                <w:lang w:val="en-GB"/>
              </w:rPr>
              <w:t xml:space="preserve"> = 0.048.</w:t>
            </w:r>
          </w:p>
        </w:tc>
      </w:tr>
    </w:tbl>
    <w:p w14:paraId="4F83C28C" w14:textId="77777777" w:rsidR="00467DD3" w:rsidRDefault="00467DD3" w:rsidP="00467DD3">
      <w:pPr>
        <w:spacing w:line="360" w:lineRule="auto"/>
        <w:jc w:val="both"/>
        <w:rPr>
          <w:rFonts w:cstheme="minorHAnsi"/>
          <w:sz w:val="24"/>
          <w:szCs w:val="24"/>
        </w:rPr>
      </w:pPr>
    </w:p>
    <w:p w14:paraId="387498C7" w14:textId="3DAE169D" w:rsidR="0035651F" w:rsidRPr="0035651F" w:rsidRDefault="0035651F" w:rsidP="00A1346E">
      <w:pPr>
        <w:spacing w:after="120" w:line="360" w:lineRule="auto"/>
        <w:jc w:val="both"/>
        <w:rPr>
          <w:rFonts w:cstheme="minorHAnsi"/>
          <w:b/>
          <w:bCs/>
          <w:sz w:val="24"/>
          <w:szCs w:val="24"/>
        </w:rPr>
      </w:pPr>
      <w:r w:rsidRPr="0035651F">
        <w:rPr>
          <w:rFonts w:cstheme="minorHAnsi"/>
          <w:b/>
          <w:bCs/>
          <w:sz w:val="24"/>
          <w:szCs w:val="24"/>
        </w:rPr>
        <w:t>Reference list:</w:t>
      </w:r>
    </w:p>
    <w:p w14:paraId="4B452289" w14:textId="77777777" w:rsidR="009C00F7" w:rsidRPr="009C00F7" w:rsidRDefault="0035651F" w:rsidP="009C00F7">
      <w:pPr>
        <w:pStyle w:val="Bibliography"/>
        <w:rPr>
          <w:rFonts w:ascii="Calibri" w:hAnsi="Calibri" w:cs="Calibri"/>
        </w:rPr>
      </w:pPr>
      <w:r>
        <w:fldChar w:fldCharType="begin"/>
      </w:r>
      <w:r>
        <w:instrText xml:space="preserve"> ADDIN ZOTERO_BIBL {"uncited":[],"omitted":[],"custom":[]} CSL_BIBLIOGRAPHY </w:instrText>
      </w:r>
      <w:r>
        <w:fldChar w:fldCharType="separate"/>
      </w:r>
      <w:r w:rsidR="009C00F7" w:rsidRPr="009C00F7">
        <w:rPr>
          <w:rFonts w:ascii="Calibri" w:hAnsi="Calibri" w:cs="Calibri"/>
        </w:rPr>
        <w:t>El-</w:t>
      </w:r>
      <w:proofErr w:type="spellStart"/>
      <w:r w:rsidR="009C00F7" w:rsidRPr="009C00F7">
        <w:rPr>
          <w:rFonts w:ascii="Calibri" w:hAnsi="Calibri" w:cs="Calibri"/>
        </w:rPr>
        <w:t>Sabaawi</w:t>
      </w:r>
      <w:proofErr w:type="spellEnd"/>
      <w:r w:rsidR="009C00F7" w:rsidRPr="009C00F7">
        <w:rPr>
          <w:rFonts w:ascii="Calibri" w:hAnsi="Calibri" w:cs="Calibri"/>
        </w:rPr>
        <w:t>, R., Dower, J.F., Kainz, M., Mazumder, A., 2009. Characterizing dietary variability and trophic positions of coastal calanoid copepods: insight from stable isotopes and fatty acids. Mar. Biol. 156, 225–237. https://doi.org/10.1007/s00227-008-1073-1</w:t>
      </w:r>
    </w:p>
    <w:p w14:paraId="364ACDBE" w14:textId="77777777" w:rsidR="009C00F7" w:rsidRPr="009C00F7" w:rsidRDefault="009C00F7" w:rsidP="009C00F7">
      <w:pPr>
        <w:pStyle w:val="Bibliography"/>
        <w:rPr>
          <w:rFonts w:ascii="Calibri" w:hAnsi="Calibri" w:cs="Calibri"/>
        </w:rPr>
      </w:pPr>
      <w:r w:rsidRPr="009C00F7">
        <w:rPr>
          <w:rFonts w:ascii="Calibri" w:hAnsi="Calibri" w:cs="Calibri"/>
        </w:rPr>
        <w:t xml:space="preserve">Fry, B., 2002. Stable isotope indicators of habitat use by Mississippi River fish. J. North Am. </w:t>
      </w:r>
      <w:proofErr w:type="spellStart"/>
      <w:r w:rsidRPr="009C00F7">
        <w:rPr>
          <w:rFonts w:ascii="Calibri" w:hAnsi="Calibri" w:cs="Calibri"/>
        </w:rPr>
        <w:t>Benthol</w:t>
      </w:r>
      <w:proofErr w:type="spellEnd"/>
      <w:r w:rsidRPr="009C00F7">
        <w:rPr>
          <w:rFonts w:ascii="Calibri" w:hAnsi="Calibri" w:cs="Calibri"/>
        </w:rPr>
        <w:t>. Soc. 21.</w:t>
      </w:r>
    </w:p>
    <w:p w14:paraId="6EC3C20B" w14:textId="77777777" w:rsidR="009C00F7" w:rsidRPr="009C00F7" w:rsidRDefault="009C00F7" w:rsidP="009C00F7">
      <w:pPr>
        <w:pStyle w:val="Bibliography"/>
        <w:rPr>
          <w:rFonts w:ascii="Calibri" w:hAnsi="Calibri" w:cs="Calibri"/>
        </w:rPr>
      </w:pPr>
      <w:r w:rsidRPr="009C00F7">
        <w:rPr>
          <w:rFonts w:ascii="Calibri" w:hAnsi="Calibri" w:cs="Calibri"/>
        </w:rPr>
        <w:t xml:space="preserve">Hoffman, J.C., Sutton, T.T., 2010. Lipid correction for carbon stable isotope analysis of deep-sea fishes. Deep Sea Res. Part </w:t>
      </w:r>
      <w:proofErr w:type="spellStart"/>
      <w:r w:rsidRPr="009C00F7">
        <w:rPr>
          <w:rFonts w:ascii="Calibri" w:hAnsi="Calibri" w:cs="Calibri"/>
        </w:rPr>
        <w:t>Oceanogr</w:t>
      </w:r>
      <w:proofErr w:type="spellEnd"/>
      <w:r w:rsidRPr="009C00F7">
        <w:rPr>
          <w:rFonts w:ascii="Calibri" w:hAnsi="Calibri" w:cs="Calibri"/>
        </w:rPr>
        <w:t>. Res. Pap. 57, 956–964. https://doi.org/10.1016/j.dsr.2010.05.003</w:t>
      </w:r>
    </w:p>
    <w:p w14:paraId="66F81FE6" w14:textId="77777777" w:rsidR="009C00F7" w:rsidRPr="009C00F7" w:rsidRDefault="009C00F7" w:rsidP="009C00F7">
      <w:pPr>
        <w:pStyle w:val="Bibliography"/>
        <w:rPr>
          <w:rFonts w:ascii="Calibri" w:hAnsi="Calibri" w:cs="Calibri"/>
        </w:rPr>
      </w:pPr>
      <w:proofErr w:type="spellStart"/>
      <w:r w:rsidRPr="009C00F7">
        <w:rPr>
          <w:rFonts w:ascii="Calibri" w:hAnsi="Calibri" w:cs="Calibri"/>
        </w:rPr>
        <w:t>Kariotoglou</w:t>
      </w:r>
      <w:proofErr w:type="spellEnd"/>
      <w:r w:rsidRPr="009C00F7">
        <w:rPr>
          <w:rFonts w:ascii="Calibri" w:hAnsi="Calibri" w:cs="Calibri"/>
        </w:rPr>
        <w:t xml:space="preserve">, D.M., </w:t>
      </w:r>
      <w:proofErr w:type="spellStart"/>
      <w:r w:rsidRPr="009C00F7">
        <w:rPr>
          <w:rFonts w:ascii="Calibri" w:hAnsi="Calibri" w:cs="Calibri"/>
        </w:rPr>
        <w:t>Mastronicolis</w:t>
      </w:r>
      <w:proofErr w:type="spellEnd"/>
      <w:r w:rsidRPr="009C00F7">
        <w:rPr>
          <w:rFonts w:ascii="Calibri" w:hAnsi="Calibri" w:cs="Calibri"/>
        </w:rPr>
        <w:t xml:space="preserve">, S.K., 2001. </w:t>
      </w:r>
      <w:proofErr w:type="spellStart"/>
      <w:r w:rsidRPr="009C00F7">
        <w:rPr>
          <w:rFonts w:ascii="Calibri" w:hAnsi="Calibri" w:cs="Calibri"/>
        </w:rPr>
        <w:t>Sphingophosphonolipids</w:t>
      </w:r>
      <w:proofErr w:type="spellEnd"/>
      <w:r w:rsidRPr="009C00F7">
        <w:rPr>
          <w:rFonts w:ascii="Calibri" w:hAnsi="Calibri" w:cs="Calibri"/>
        </w:rPr>
        <w:t xml:space="preserve">, phospholipids, and fatty acids from </w:t>
      </w:r>
      <w:proofErr w:type="spellStart"/>
      <w:r w:rsidRPr="009C00F7">
        <w:rPr>
          <w:rFonts w:ascii="Calibri" w:hAnsi="Calibri" w:cs="Calibri"/>
        </w:rPr>
        <w:t>aegean</w:t>
      </w:r>
      <w:proofErr w:type="spellEnd"/>
      <w:r w:rsidRPr="009C00F7">
        <w:rPr>
          <w:rFonts w:ascii="Calibri" w:hAnsi="Calibri" w:cs="Calibri"/>
        </w:rPr>
        <w:t xml:space="preserve"> jellyfish Aurelia </w:t>
      </w:r>
      <w:proofErr w:type="spellStart"/>
      <w:r w:rsidRPr="009C00F7">
        <w:rPr>
          <w:rFonts w:ascii="Calibri" w:hAnsi="Calibri" w:cs="Calibri"/>
        </w:rPr>
        <w:t>aurita</w:t>
      </w:r>
      <w:proofErr w:type="spellEnd"/>
      <w:r w:rsidRPr="009C00F7">
        <w:rPr>
          <w:rFonts w:ascii="Calibri" w:hAnsi="Calibri" w:cs="Calibri"/>
        </w:rPr>
        <w:t>. Lipids 36, 1255–1264. https://doi.org/10.1007/s11745-001-0840-3</w:t>
      </w:r>
    </w:p>
    <w:p w14:paraId="57EC96CA" w14:textId="77777777" w:rsidR="009C00F7" w:rsidRPr="009C00F7" w:rsidRDefault="009C00F7" w:rsidP="009C00F7">
      <w:pPr>
        <w:pStyle w:val="Bibliography"/>
        <w:rPr>
          <w:rFonts w:ascii="Calibri" w:hAnsi="Calibri" w:cs="Calibri"/>
        </w:rPr>
      </w:pPr>
      <w:proofErr w:type="spellStart"/>
      <w:r w:rsidRPr="009C00F7">
        <w:rPr>
          <w:rFonts w:ascii="Calibri" w:hAnsi="Calibri" w:cs="Calibri"/>
        </w:rPr>
        <w:t>Kiljunen</w:t>
      </w:r>
      <w:proofErr w:type="spellEnd"/>
      <w:r w:rsidRPr="009C00F7">
        <w:rPr>
          <w:rFonts w:ascii="Calibri" w:hAnsi="Calibri" w:cs="Calibri"/>
        </w:rPr>
        <w:t xml:space="preserve">, M., Grey, J., Sinisalo, T., Harrod, C., Immonen, H., Jones, R.I., 2006. A revised model for lipid‐normalizing δ </w:t>
      </w:r>
      <w:r w:rsidRPr="009C00F7">
        <w:rPr>
          <w:rFonts w:ascii="Calibri" w:hAnsi="Calibri" w:cs="Calibri"/>
          <w:vertAlign w:val="superscript"/>
        </w:rPr>
        <w:t>13</w:t>
      </w:r>
      <w:r w:rsidRPr="009C00F7">
        <w:rPr>
          <w:rFonts w:ascii="Calibri" w:hAnsi="Calibri" w:cs="Calibri"/>
        </w:rPr>
        <w:t xml:space="preserve"> C values from aquatic organisms, with implications for isotope mixing models. J. Appl. Ecol. 43, 1213–1222. https://doi.org/10.1111/j.1365-2664.2006.01224.x</w:t>
      </w:r>
    </w:p>
    <w:p w14:paraId="2A61B43A" w14:textId="77777777" w:rsidR="009C00F7" w:rsidRPr="009C00F7" w:rsidRDefault="009C00F7" w:rsidP="009C00F7">
      <w:pPr>
        <w:pStyle w:val="Bibliography"/>
        <w:rPr>
          <w:rFonts w:ascii="Calibri" w:hAnsi="Calibri" w:cs="Calibri"/>
          <w:lang w:val="pt-BR"/>
        </w:rPr>
      </w:pPr>
      <w:r w:rsidRPr="009C00F7">
        <w:rPr>
          <w:rFonts w:ascii="Calibri" w:hAnsi="Calibri" w:cs="Calibri"/>
        </w:rPr>
        <w:t xml:space="preserve">Logan, J.M., Jardine, T.D., Miller, T.J., Bunn, S.E., </w:t>
      </w:r>
      <w:proofErr w:type="spellStart"/>
      <w:r w:rsidRPr="009C00F7">
        <w:rPr>
          <w:rFonts w:ascii="Calibri" w:hAnsi="Calibri" w:cs="Calibri"/>
        </w:rPr>
        <w:t>Cunjak</w:t>
      </w:r>
      <w:proofErr w:type="spellEnd"/>
      <w:r w:rsidRPr="009C00F7">
        <w:rPr>
          <w:rFonts w:ascii="Calibri" w:hAnsi="Calibri" w:cs="Calibri"/>
        </w:rPr>
        <w:t xml:space="preserve">, R.A., </w:t>
      </w:r>
      <w:proofErr w:type="spellStart"/>
      <w:r w:rsidRPr="009C00F7">
        <w:rPr>
          <w:rFonts w:ascii="Calibri" w:hAnsi="Calibri" w:cs="Calibri"/>
        </w:rPr>
        <w:t>Lutcavage</w:t>
      </w:r>
      <w:proofErr w:type="spellEnd"/>
      <w:r w:rsidRPr="009C00F7">
        <w:rPr>
          <w:rFonts w:ascii="Calibri" w:hAnsi="Calibri" w:cs="Calibri"/>
        </w:rPr>
        <w:t xml:space="preserve">, M.E., 2008. Lipid corrections in carbon and nitrogen stable isotope analyses: comparison of chemical extraction and modelling methods. </w:t>
      </w:r>
      <w:r w:rsidRPr="009C00F7">
        <w:rPr>
          <w:rFonts w:ascii="Calibri" w:hAnsi="Calibri" w:cs="Calibri"/>
          <w:lang w:val="pt-BR"/>
        </w:rPr>
        <w:t>J. Anim. Ecol. 77, 838–846. https://doi.org/10.1111/j.1365-2656.2008.01394.x</w:t>
      </w:r>
    </w:p>
    <w:p w14:paraId="014BDDAE" w14:textId="77777777" w:rsidR="009C00F7" w:rsidRPr="009C00F7" w:rsidRDefault="009C00F7" w:rsidP="009C00F7">
      <w:pPr>
        <w:pStyle w:val="Bibliography"/>
        <w:rPr>
          <w:rFonts w:ascii="Calibri" w:hAnsi="Calibri" w:cs="Calibri"/>
        </w:rPr>
      </w:pPr>
      <w:r w:rsidRPr="009C00F7">
        <w:rPr>
          <w:rFonts w:ascii="Calibri" w:hAnsi="Calibri" w:cs="Calibri"/>
          <w:lang w:val="pt-BR"/>
        </w:rPr>
        <w:t xml:space="preserve">Lucas, C.H., 2009. </w:t>
      </w:r>
      <w:r w:rsidRPr="009C00F7">
        <w:rPr>
          <w:rFonts w:ascii="Calibri" w:hAnsi="Calibri" w:cs="Calibri"/>
        </w:rPr>
        <w:t xml:space="preserve">Biochemical composition of the mesopelagic coronate jellyfish </w:t>
      </w:r>
      <w:proofErr w:type="spellStart"/>
      <w:r w:rsidRPr="009C00F7">
        <w:rPr>
          <w:rFonts w:ascii="Calibri" w:hAnsi="Calibri" w:cs="Calibri"/>
          <w:i/>
          <w:iCs/>
        </w:rPr>
        <w:t>Periphylla</w:t>
      </w:r>
      <w:proofErr w:type="spellEnd"/>
      <w:r w:rsidRPr="009C00F7">
        <w:rPr>
          <w:rFonts w:ascii="Calibri" w:hAnsi="Calibri" w:cs="Calibri"/>
          <w:i/>
          <w:iCs/>
        </w:rPr>
        <w:t xml:space="preserve"> </w:t>
      </w:r>
      <w:proofErr w:type="spellStart"/>
      <w:r w:rsidRPr="009C00F7">
        <w:rPr>
          <w:rFonts w:ascii="Calibri" w:hAnsi="Calibri" w:cs="Calibri"/>
          <w:i/>
          <w:iCs/>
        </w:rPr>
        <w:t>periphylla</w:t>
      </w:r>
      <w:proofErr w:type="spellEnd"/>
      <w:r w:rsidRPr="009C00F7">
        <w:rPr>
          <w:rFonts w:ascii="Calibri" w:hAnsi="Calibri" w:cs="Calibri"/>
        </w:rPr>
        <w:t xml:space="preserve"> from the Gulf of Mexico. J. Mar. Biol. Assoc. U. K. 89, 77–81. https://doi.org/10.1017/S0025315408002804</w:t>
      </w:r>
    </w:p>
    <w:p w14:paraId="636AB506" w14:textId="690EED24" w:rsidR="00AF5E61" w:rsidRDefault="009C00F7" w:rsidP="00A1346E">
      <w:pPr>
        <w:pStyle w:val="Bibliography"/>
      </w:pPr>
      <w:r w:rsidRPr="009C00F7">
        <w:rPr>
          <w:rFonts w:ascii="Calibri" w:hAnsi="Calibri" w:cs="Calibri"/>
        </w:rPr>
        <w:t xml:space="preserve">McConnaughey, T., McRoy, C.P., 1979. Food-Web structure and the fractionation of Carbon isotopes in the </w:t>
      </w:r>
      <w:proofErr w:type="spellStart"/>
      <w:r w:rsidRPr="009C00F7">
        <w:rPr>
          <w:rFonts w:ascii="Calibri" w:hAnsi="Calibri" w:cs="Calibri"/>
        </w:rPr>
        <w:t>bering</w:t>
      </w:r>
      <w:proofErr w:type="spellEnd"/>
      <w:r w:rsidRPr="009C00F7">
        <w:rPr>
          <w:rFonts w:ascii="Calibri" w:hAnsi="Calibri" w:cs="Calibri"/>
        </w:rPr>
        <w:t xml:space="preserve"> sea. Mar. Biol. 53, 257–262. https://doi.org/10.1007/BF00952434</w:t>
      </w:r>
      <w:r w:rsidR="0035651F">
        <w:fldChar w:fldCharType="end"/>
      </w:r>
    </w:p>
    <w:sectPr w:rsidR="00AF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61"/>
    <w:rsid w:val="000D1B18"/>
    <w:rsid w:val="001A0FCE"/>
    <w:rsid w:val="001B4313"/>
    <w:rsid w:val="002C7854"/>
    <w:rsid w:val="002E4D08"/>
    <w:rsid w:val="0035651F"/>
    <w:rsid w:val="003B3755"/>
    <w:rsid w:val="00467DD3"/>
    <w:rsid w:val="004A7180"/>
    <w:rsid w:val="005D13F0"/>
    <w:rsid w:val="009C00F7"/>
    <w:rsid w:val="00A1346E"/>
    <w:rsid w:val="00AF5E61"/>
    <w:rsid w:val="00C61403"/>
    <w:rsid w:val="00FC688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0ABB"/>
  <w15:chartTrackingRefBased/>
  <w15:docId w15:val="{68A426B6-7557-4A30-B54C-0D0D8773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DD3"/>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7DD3"/>
    <w:rPr>
      <w:sz w:val="16"/>
      <w:szCs w:val="16"/>
    </w:rPr>
  </w:style>
  <w:style w:type="paragraph" w:styleId="CommentText">
    <w:name w:val="annotation text"/>
    <w:basedOn w:val="Normal"/>
    <w:link w:val="CommentTextChar"/>
    <w:uiPriority w:val="99"/>
    <w:unhideWhenUsed/>
    <w:rsid w:val="00467DD3"/>
    <w:pPr>
      <w:spacing w:line="240" w:lineRule="auto"/>
    </w:pPr>
    <w:rPr>
      <w:sz w:val="20"/>
      <w:szCs w:val="20"/>
    </w:rPr>
  </w:style>
  <w:style w:type="character" w:customStyle="1" w:styleId="CommentTextChar">
    <w:name w:val="Comment Text Char"/>
    <w:basedOn w:val="DefaultParagraphFont"/>
    <w:link w:val="CommentText"/>
    <w:uiPriority w:val="99"/>
    <w:rsid w:val="00467DD3"/>
    <w:rPr>
      <w:kern w:val="0"/>
      <w:sz w:val="20"/>
      <w:szCs w:val="20"/>
      <w:lang w:val="en-US"/>
      <w14:ligatures w14:val="none"/>
    </w:rPr>
  </w:style>
  <w:style w:type="paragraph" w:styleId="Caption">
    <w:name w:val="caption"/>
    <w:basedOn w:val="Normal"/>
    <w:next w:val="Normal"/>
    <w:uiPriority w:val="35"/>
    <w:unhideWhenUsed/>
    <w:qFormat/>
    <w:rsid w:val="00467DD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5651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9939338C678B478E497C979D9CD138" ma:contentTypeVersion="15" ma:contentTypeDescription="Create a new document." ma:contentTypeScope="" ma:versionID="720e09a64d961bbe3ca23a0574077fbb">
  <xsd:schema xmlns:xsd="http://www.w3.org/2001/XMLSchema" xmlns:xs="http://www.w3.org/2001/XMLSchema" xmlns:p="http://schemas.microsoft.com/office/2006/metadata/properties" xmlns:ns2="d67aa1b6-eba1-4361-9b9d-8b3531c7f238" xmlns:ns3="14e43a1d-ff4c-4f1b-9e75-34d4d00419f8" targetNamespace="http://schemas.microsoft.com/office/2006/metadata/properties" ma:root="true" ma:fieldsID="122b13d4698b7e07b12d280acf027f81" ns2:_="" ns3:_="">
    <xsd:import namespace="d67aa1b6-eba1-4361-9b9d-8b3531c7f238"/>
    <xsd:import namespace="14e43a1d-ff4c-4f1b-9e75-34d4d00419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aa1b6-eba1-4361-9b9d-8b3531c7f2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e43a1d-ff4c-4f1b-9e75-34d4d00419f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979f3e3-2815-427e-9e8f-ce34fc1994be}" ma:internalName="TaxCatchAll" ma:showField="CatchAllData" ma:web="14e43a1d-ff4c-4f1b-9e75-34d4d00419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7aa1b6-eba1-4361-9b9d-8b3531c7f238">
      <Terms xmlns="http://schemas.microsoft.com/office/infopath/2007/PartnerControls"/>
    </lcf76f155ced4ddcb4097134ff3c332f>
    <TaxCatchAll xmlns="14e43a1d-ff4c-4f1b-9e75-34d4d00419f8" xsi:nil="true"/>
  </documentManagement>
</p:properties>
</file>

<file path=customXml/itemProps1.xml><?xml version="1.0" encoding="utf-8"?>
<ds:datastoreItem xmlns:ds="http://schemas.openxmlformats.org/officeDocument/2006/customXml" ds:itemID="{E93382C6-53A5-4821-906A-7F12D7D321EC}">
  <ds:schemaRefs>
    <ds:schemaRef ds:uri="http://schemas.microsoft.com/sharepoint/v3/contenttype/forms"/>
  </ds:schemaRefs>
</ds:datastoreItem>
</file>

<file path=customXml/itemProps2.xml><?xml version="1.0" encoding="utf-8"?>
<ds:datastoreItem xmlns:ds="http://schemas.openxmlformats.org/officeDocument/2006/customXml" ds:itemID="{3001A68A-2ABF-45F2-9665-6965FA11F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aa1b6-eba1-4361-9b9d-8b3531c7f238"/>
    <ds:schemaRef ds:uri="14e43a1d-ff4c-4f1b-9e75-34d4d0041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15DBC2-FFD3-45AD-BFD6-C32989A197D4}">
  <ds:schemaRefs>
    <ds:schemaRef ds:uri="http://schemas.microsoft.com/office/2006/metadata/properties"/>
    <ds:schemaRef ds:uri="http://schemas.microsoft.com/office/infopath/2007/PartnerControls"/>
    <ds:schemaRef ds:uri="d67aa1b6-eba1-4361-9b9d-8b3531c7f238"/>
    <ds:schemaRef ds:uri="14e43a1d-ff4c-4f1b-9e75-34d4d00419f8"/>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2680</Words>
  <Characters>15280</Characters>
  <Application>Microsoft Office Word</Application>
  <DocSecurity>0</DocSecurity>
  <Lines>127</Lines>
  <Paragraphs>35</Paragraphs>
  <ScaleCrop>false</ScaleCrop>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Genyffer Troina</dc:creator>
  <cp:keywords/>
  <dc:description/>
  <cp:lastModifiedBy>Genyffer Troina</cp:lastModifiedBy>
  <cp:revision>15</cp:revision>
  <dcterms:created xsi:type="dcterms:W3CDTF">2023-09-07T20:42:00Z</dcterms:created>
  <dcterms:modified xsi:type="dcterms:W3CDTF">2024-02-14T19:04:00Z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0x0101002A9939338C678B478E497C979D9CD138</vt:lpwstr>
  </property>
  <property fmtid="{D5CDD505-2E9C-101B-9397-08002B2CF9AE}" pid="3" name="MediaServiceImageTags">
    <vt:lpwstr/>
  </property>
  <property fmtid="{D5CDD505-2E9C-101B-9397-08002B2CF9AE}" pid="4" name="ZOTERO_PREF_1">
    <vt:lpwstr>&lt;data data-version="3" zotero-version="6.0.30"&gt;&lt;session id="30QAYrPk"/&gt;&lt;style id="http://www.zotero.org/styles/elsevier-harvard" hasBibliography="1" bibliographyStyleHasBeenSet="1"/&gt;&lt;prefs&gt;&lt;pref name="fieldType" value="Field"/&gt;&lt;pref name="automaticJournal</vt:lpwstr>
  </property>
  <property fmtid="{D5CDD505-2E9C-101B-9397-08002B2CF9AE}" pid="5" name="ZOTERO_PREF_2">
    <vt:lpwstr>Abbreviations" value="true"/&gt;&lt;/prefs&gt;&lt;/data&gt;</vt:lpwstr>
  </property>
</Properties>
</file>