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NGIN Alliance Playbook</w:t>
      </w:r>
    </w:p>
    <w:p>
      <w:pPr>
        <w:spacing w:before="0" w:after="60"/>
      </w:pPr>
      <w:r>
        <w:rPr>
          <w:rFonts w:ascii="Arial" w:cs="Arial" w:eastAsia="Arial" w:hAnsi="Arial"/>
          <w:color w:val="2E7D6B"/>
          <w:sz w:val="26"/>
          <w:szCs w:val="26"/>
        </w:rPr>
        <w:t xml:space="preserve">Kickoff Call Agenda  +  Content Responsibility Matrix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23, 2026  ·  1:00 PM  ·  Jared (Pocketknife) &amp; Taylor Dudley (NGIN)</w:t>
      </w:r>
    </w:p>
    <w:p>
      <w:pPr>
        <w:pBdr>
          <w:bottom w:val="single" w:color="C9DED9" w:sz="6" w:space="1"/>
        </w:pBdr>
        <w:spacing w:before="160" w:after="16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Kickoff Call Agenda</w:t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this with Taylor before the call or use it to keep the conversation on track. The goal is to leave with every open question resolved and a clear set of next steps on both sides.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800"/>
        <w:gridCol w:w="5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Key Questions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Intros &amp; context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Jared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Brief overview of Pocketknife's role. Set a collaborative tone — position this as a partnership, not a vendor relationship.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0:05 – 0:15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Confirm: Microsite (RESOLVED)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 playbook.newgrowth.org as the build target. Briefly note the DNS access needed for subdomain setup in Phase 5.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0:15 – 0:25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Walk through updated timeline &amp; milestones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Jared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 the 7-week schedule (Feb 23 – Apr 13). Walk through each phase and its payment. Emphasize: each invoice must be paid before the next phase begins. Flag the 48-hr feedback expectation.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0:25 – 0:35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Review content map — confirm case study count &amp; tool formats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Walk through the site structure and content mapping. Key questions: How many case study pages total? Are the 15 tools meant to be downloadable files, web content, or both? Who preps the download files?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0:35 – 0:45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Confirm assets, access &amp; communication norms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guidelines, logo files, photography. Squarespace account ownership. Google Analytics &amp; Search Console access. Communication tool (email, Slack, PM tool). Feedback turnaround expectations.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0:45 – 0:55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Optional: Framework visuals add-on ($3,500)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Jared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there's time, raise the optional infographics add-on for the Framework &amp; Insights page. Not required today — can follow up in writing after the call.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0:55 – 1:00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Next steps &amp; Phase 1 action items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 who does what before Feb 28. Send summary email after call. Agree on first check-in date.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D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After the Call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a recap email within 24 hours covering: confirmed decisions, open items, and Phase 1 action items with owners and due dates.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Attach the updated timeline and content responsibility matrix so both parties have a shared reference from day one.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framework visuals add-on was not discussed, follow up in writing within 48 hours — it's needed no later than start of Phase 2.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Content Responsibility Matrix</w:t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deliverable for the project, who owns it, when it's due, and any critical notes. Items marked NGIN are client dependencies — delays on these directly impact the April 13 go-live.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B" w:sz="4"/>
              <w:left w:val="single" w:color="2E7D6B" w:sz="24"/>
              <w:bottom w:val="single" w:color="2E7D6B" w:sz="4"/>
              <w:right w:val="single" w:color="2E7D6B" w:sz="4"/>
            </w:tcBorders>
            <w:shd w:fill="ED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6B"/>
                <w:sz w:val="22"/>
                <w:szCs w:val="22"/>
              </w:rPr>
              <w:t xml:space="preserve">Color Key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Pocketknife (green) = Pocketknife-owned deliverable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 (amber) = Client-owned deliverable — these are your watch items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critical client deadlines: Brand assets by Feb 28 · All content by Mar 28 · DNS access by Apr 7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200"/>
        <w:gridCol w:w="900"/>
        <w:gridCol w:w="31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By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Kickoff call notes &amp; recap email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Jared sends summary within 24 hrs of call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Squarespace environment setup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Sitemap draft for approval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must approve before Phase 2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management workspace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Brand guidelines, logos &amp; color palette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Needed before design begins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existing photography / imagery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Used in hero sections, case studies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Squarespace account access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ownership; Pocketknife to be added as contributor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layouts for all page types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13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Includes homepage, about, framework, resources, case study template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feedback — Round 1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13+48h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48-hour turnaround from design delivery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revisions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13+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Framework visuals (if add-on approved)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13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Optional $3,500 add-on. Confirm at kickoff.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static pages built in Squarespace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Home, About, Framework &amp; Insights, Resources Bank, Cities Index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Case study template built &amp; duplicated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template, applied to all confirmed case study pages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Finalized written content — all pages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 must be 100% final before Phase 4. Late content = at-risk go-live.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case study content (text + data per city)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total page count at kickoff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 files for Resources Bank (15 tools)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PDFs or formatted Word docs ready for upload/download. Format TBD at kickoff.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additional imagery / headshots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 28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 upload &amp; formatting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4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client content must be in by Mar 28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 review — Round 2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4+48h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Final opportunity to catch errors before QA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 revisions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6B"/>
                <w:sz w:val="20"/>
                <w:szCs w:val="20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4+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Scope changes at this stage billed at $150/hr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testing (devices &amp; browsers)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7–13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SEO setup (titles, alt text, URLs)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7–13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DNS subdomain setup (playbook.newgrowth.org)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7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must provide DNS access or make the change themselves. Allow 24–48 hrs for propagation.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Analytics &amp; Search Console access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7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access needed before go-live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launch approval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NGIN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13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Written confirmation (email) required before go-live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Go-live &amp; subdomain integration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6B"/>
                <w:sz w:val="20"/>
                <w:szCs w:val="20"/>
              </w:rPr>
              <w:t xml:space="preserve">Pocketknife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 13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ED9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B7280"/>
        <w:sz w:val="18"/>
        <w:szCs w:val="18"/>
      </w:rPr>
      <w:t xml:space="preserve">Pocketknife  |  Confidential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ED9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6B7280"/>
        <w:sz w:val="18"/>
        <w:szCs w:val="18"/>
      </w:rPr>
      <w:t xml:space="preserve">NGIN Alliance Playbook  |  Kickoff Prep — Agenda &amp; Content Matrix</w:t>
    </w:r>
    <w:r>
      <w:rPr>
        <w:rFonts w:ascii="Arial" w:cs="Arial" w:eastAsia="Arial" w:hAnsi="Arial"/>
        <w:color w:val="6B7280"/>
        <w:sz w:val="18"/>
        <w:szCs w:val="18"/>
      </w:rPr>
      <w:t xml:space="preserve">	Feb 23,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2026-02-23T17:27:40.973Z</dcterms:created>
  <dcterms:modified xsi:type="dcterms:W3CDTF">2026-02-23T17:27:40.973Z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