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t xml:space="preserve"/>
      </w:r>
    </w:p>
    <w:p>
      <w:pPr>
        <w:spacing w:before="0" w:after="80"/>
      </w:pPr>
      <w:r>
        <w:rPr>
          <w:rFonts w:ascii="Arial" w:cs="Arial" w:eastAsia="Arial" w:hAnsi="Arial"/>
          <w:b/>
          <w:bCs/>
          <w:color w:val="1B3A6B"/>
          <w:sz w:val="44"/>
          <w:szCs w:val="44"/>
        </w:rPr>
        <w:t xml:space="preserve">NGIN Alliance Playbook</w:t>
      </w:r>
    </w:p>
    <w:p>
      <w:pPr>
        <w:spacing w:before="0" w:after="60"/>
      </w:pPr>
      <w:r>
        <w:rPr>
          <w:rFonts w:ascii="Arial" w:cs="Arial" w:eastAsia="Arial" w:hAnsi="Arial"/>
          <w:color w:val="2E7D6B"/>
          <w:sz w:val="26"/>
          <w:szCs w:val="26"/>
        </w:rPr>
        <w:t xml:space="preserve">Case Study Audit  —  True Count &amp; Breakdown</w:t>
      </w:r>
    </w:p>
    <w:p>
      <w:pPr>
        <w:spacing w:before="0" w:after="60"/>
      </w:pPr>
      <w:r>
        <w:rPr>
          <w:rFonts w:ascii="Arial" w:cs="Arial" w:eastAsia="Arial" w:hAnsi="Arial"/>
          <w:color w:val="6B7280"/>
          <w:sz w:val="22"/>
          <w:szCs w:val="22"/>
        </w:rPr>
        <w:t xml:space="preserve">Prepared for kickoff ·  February 23, 2026</w:t>
      </w:r>
    </w:p>
    <w:p>
      <w:pPr>
        <w:pBdr>
          <w:bottom w:val="single" w:color="C9DED9" w:sz="6" w:space="1"/>
        </w:pBdr>
        <w:spacing w:before="160" w:after="160"/>
      </w:pPr>
      <w:r>
        <w:t xml:space="preserve"/>
      </w:r>
    </w:p>
    <w:p>
      <w:pPr>
        <w:spacing w:before="280" w:after="140"/>
      </w:pPr>
      <w:r>
        <w:rPr>
          <w:rFonts w:ascii="Arial" w:cs="Arial" w:eastAsia="Arial" w:hAnsi="Arial"/>
          <w:b/>
          <w:bCs/>
          <w:color w:val="1B3A6B"/>
          <w:sz w:val="36"/>
          <w:szCs w:val="36"/>
        </w:rPr>
        <w:t xml:space="preserve">What We Found</w:t>
      </w:r>
    </w:p>
    <w:p>
      <w:pPr>
        <w:spacing w:before="0" w:after="100"/>
      </w:pPr>
      <w:r>
        <w:rPr>
          <w:rFonts w:ascii="Arial" w:cs="Arial" w:eastAsia="Arial" w:hAnsi="Arial"/>
          <w:color w:val="333333"/>
          <w:sz w:val="22"/>
          <w:szCs w:val="22"/>
        </w:rPr>
        <w:t xml:space="preserve">The proposal scopes approximately 24+ case study pages. The Playbook document is organized around 7 primary city sections — but a close read reveals that some sections contain multiple distinct case narratives embedded within them. Here is the actual count: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spacing w:before="0" w:after="40"/>
              <w:jc w:val="center"/>
            </w:pPr>
            <w:r>
              <w:rPr>
                <w:rFonts w:ascii="Arial" w:cs="Arial" w:eastAsia="Arial" w:hAnsi="Arial"/>
                <w:b/>
                <w:bCs/>
                <w:color w:val="FFFFFF"/>
                <w:sz w:val="72"/>
                <w:szCs w:val="72"/>
              </w:rPr>
              <w:t xml:space="preserve">9</w:t>
            </w:r>
          </w:p>
          <w:p>
            <w:pPr>
              <w:spacing w:before="0" w:after="0"/>
              <w:jc w:val="center"/>
            </w:pPr>
            <w:r>
              <w:rPr>
                <w:rFonts w:ascii="Arial" w:cs="Arial" w:eastAsia="Arial" w:hAnsi="Arial"/>
                <w:color w:val="C9DED9"/>
                <w:sz w:val="20"/>
                <w:szCs w:val="20"/>
              </w:rPr>
              <w:t xml:space="preserve">Total Distinct Case Narratives</w:t>
            </w:r>
          </w:p>
        </w:tc>
        <w:tc>
          <w:tcPr>
            <w:tcW w:type="dxa" w:w="3120"/>
            <w:tcBorders>
              <w:top w:val="none" w:color="FFFFFF" w:sz="0"/>
              <w:left w:val="none" w:color="FFFFFF" w:sz="0"/>
              <w:bottom w:val="none" w:color="FFFFFF" w:sz="0"/>
              <w:right w:val="none" w:color="FFFFFF" w:sz="0"/>
            </w:tcBorders>
            <w:shd w:fill="2E7D6B" w:val="clear"/>
            <w:tcMar>
              <w:top w:type="dxa" w:w="160"/>
              <w:left w:type="dxa" w:w="200"/>
              <w:bottom w:type="dxa" w:w="160"/>
              <w:right w:type="dxa" w:w="200"/>
            </w:tcMar>
          </w:tcPr>
          <w:p>
            <w:pPr>
              <w:spacing w:before="0" w:after="40"/>
              <w:jc w:val="center"/>
            </w:pPr>
            <w:r>
              <w:rPr>
                <w:rFonts w:ascii="Arial" w:cs="Arial" w:eastAsia="Arial" w:hAnsi="Arial"/>
                <w:b/>
                <w:bCs/>
                <w:color w:val="FFFFFF"/>
                <w:sz w:val="72"/>
                <w:szCs w:val="72"/>
              </w:rPr>
              <w:t xml:space="preserve">6</w:t>
            </w:r>
          </w:p>
          <w:p>
            <w:pPr>
              <w:spacing w:before="0" w:after="0"/>
              <w:jc w:val="center"/>
            </w:pPr>
            <w:r>
              <w:rPr>
                <w:rFonts w:ascii="Arial" w:cs="Arial" w:eastAsia="Arial" w:hAnsi="Arial"/>
                <w:color w:val="EDF4F2"/>
                <w:sz w:val="20"/>
                <w:szCs w:val="20"/>
              </w:rPr>
              <w:t xml:space="preserve">Primary City Sections (clearly titled)</w:t>
            </w:r>
          </w:p>
        </w:tc>
        <w:tc>
          <w:tcPr>
            <w:tcW w:type="dxa" w:w="3120"/>
            <w:tcBorders>
              <w:top w:val="none" w:color="FFFFFF" w:sz="0"/>
              <w:left w:val="none" w:color="FFFFFF" w:sz="0"/>
              <w:bottom w:val="none" w:color="FFFFFF" w:sz="0"/>
              <w:right w:val="none" w:color="FFFFFF" w:sz="0"/>
            </w:tcBorders>
            <w:shd w:fill="D97706" w:val="clear"/>
            <w:tcMar>
              <w:top w:type="dxa" w:w="160"/>
              <w:left w:type="dxa" w:w="200"/>
              <w:bottom w:type="dxa" w:w="160"/>
              <w:right w:type="dxa" w:w="200"/>
            </w:tcMar>
          </w:tcPr>
          <w:p>
            <w:pPr>
              <w:spacing w:before="0" w:after="40"/>
              <w:jc w:val="center"/>
            </w:pPr>
            <w:r>
              <w:rPr>
                <w:rFonts w:ascii="Arial" w:cs="Arial" w:eastAsia="Arial" w:hAnsi="Arial"/>
                <w:b/>
                <w:bCs/>
                <w:color w:val="FFFFFF"/>
                <w:sz w:val="72"/>
                <w:szCs w:val="72"/>
              </w:rPr>
              <w:t xml:space="preserve">3</w:t>
            </w:r>
          </w:p>
          <w:p>
            <w:pPr>
              <w:spacing w:before="0" w:after="0"/>
              <w:jc w:val="center"/>
            </w:pPr>
            <w:r>
              <w:rPr>
                <w:rFonts w:ascii="Arial" w:cs="Arial" w:eastAsia="Arial" w:hAnsi="Arial"/>
                <w:color w:val="FFFFFF"/>
                <w:sz w:val="20"/>
                <w:szCs w:val="20"/>
              </w:rPr>
              <w:t xml:space="preserve">Embedded Cases (different city, nested inside another section)</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24"/>
              <w:bottom w:val="single" w:color="D97706" w:sz="4"/>
              <w:right w:val="single" w:color="D97706" w:sz="4"/>
            </w:tcBorders>
            <w:shd w:fill="FFFBF0" w:val="clear"/>
            <w:tcMar>
              <w:top w:type="dxa" w:w="140"/>
              <w:left w:type="dxa" w:w="200"/>
              <w:bottom w:type="dxa" w:w="140"/>
              <w:right w:type="dxa" w:w="200"/>
            </w:tcMar>
          </w:tcPr>
          <w:p>
            <w:pPr>
              <w:spacing w:before="0" w:after="80"/>
            </w:pPr>
            <w:r>
              <w:rPr>
                <w:rFonts w:ascii="Arial" w:cs="Arial" w:eastAsia="Arial" w:hAnsi="Arial"/>
                <w:b/>
                <w:bCs/>
                <w:color w:val="D97706"/>
                <w:sz w:val="22"/>
                <w:szCs w:val="22"/>
              </w:rPr>
              <w:t xml:space="preserve">⚠️  Scope Implication</w:t>
            </w:r>
          </w:p>
          <w:p>
            <w:pPr>
              <w:spacing w:before="0" w:after="50"/>
            </w:pPr>
            <w:r>
              <w:rPr>
                <w:rFonts w:ascii="Arial" w:cs="Arial" w:eastAsia="Arial" w:hAnsi="Arial"/>
                <w:color w:val="333333"/>
                <w:sz w:val="20"/>
                <w:szCs w:val="20"/>
              </w:rPr>
              <w:t xml:space="preserve">The proposal references ~24+ case studies based on NGIN’s 24 documented partnerships. The Playbook document contains 9 fully written narratives. There are 15 additional partnerships referenced in the program’s reported reach that do not yet have written case content in the document.</w:t>
            </w:r>
          </w:p>
          <w:p>
            <w:pPr>
              <w:spacing w:before="0" w:after="50"/>
            </w:pPr>
            <w:r>
              <w:rPr>
                <w:rFonts w:ascii="Arial" w:cs="Arial" w:eastAsia="Arial" w:hAnsi="Arial"/>
                <w:color w:val="333333"/>
                <w:sz w:val="20"/>
                <w:szCs w:val="20"/>
              </w:rPr>
              <w:t xml:space="preserve">Action item for today’s call: Confirm whether the site launches with the 9 documented cases only, or whether NGIN will provide additional case content before the April 13 go-live. This directly impacts Phase 3 development scope.</w:t>
            </w:r>
          </w:p>
        </w:tc>
      </w:tr>
    </w:tbl>
    <w:p>
      <w:pPr>
        <w:spacing w:before="0" w:after="160"/>
      </w:pPr>
      <w:r>
        <w:t xml:space="preserve"/>
      </w:r>
    </w:p>
    <w:p>
      <w:pPr>
        <w:spacing w:before="280" w:after="140"/>
      </w:pPr>
      <w:r>
        <w:rPr>
          <w:rFonts w:ascii="Arial" w:cs="Arial" w:eastAsia="Arial" w:hAnsi="Arial"/>
          <w:b/>
          <w:bCs/>
          <w:color w:val="1B3A6B"/>
          <w:sz w:val="36"/>
          <w:szCs w:val="36"/>
        </w:rPr>
        <w:t xml:space="preserve">Full Case Study Inventory</w:t>
      </w:r>
    </w:p>
    <w:p>
      <w:pPr>
        <w:spacing w:before="0" w:after="100"/>
      </w:pPr>
      <w:r>
        <w:rPr>
          <w:rFonts w:ascii="Arial" w:cs="Arial" w:eastAsia="Arial" w:hAnsi="Arial"/>
          <w:color w:val="333333"/>
          <w:sz w:val="22"/>
          <w:szCs w:val="22"/>
        </w:rPr>
        <w:t xml:space="preserve">The three embedded cases (Omaha, Cleveland, Shreveport) are fully written narratives with complete structure — organizations, context, interventions, outcomes, lessons, and Do’s &amp; Don’ts. They are ready to be published as standalone case study pages.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1900"/>
        <w:gridCol w:w="1300"/>
        <w:gridCol w:w="1400"/>
        <w:gridCol w:w="3060"/>
        <w:gridCol w:w="1400"/>
      </w:tblGrid>
      <w:tr>
        <w:tc>
          <w:tcPr>
            <w:tcW w:type="dxa" w:w="300"/>
            <w:tcBorders>
              <w:top w:val="none" w:color="FFFFFF" w:sz="0"/>
              <w:left w:val="none" w:color="FFFFFF" w:sz="0"/>
              <w:bottom w:val="none" w:color="FFFFFF" w:sz="0"/>
              <w:right w:val="none" w:color="FFFFFF" w:sz="0"/>
            </w:tcBorders>
            <w:shd w:fill="1B3A6B" w:val="clear"/>
            <w:tcMar>
              <w:top w:type="dxa" w:w="100"/>
              <w:left w:type="dxa" w:w="120"/>
              <w:bottom w:type="dxa" w:w="100"/>
              <w:right w:type="dxa" w:w="120"/>
            </w:tcMar>
          </w:tcPr>
          <w:p>
            <w:pPr>
              <w:spacing w:before="0" w:after="0"/>
            </w:pPr>
            <w:r>
              <w:rPr>
                <w:rFonts w:ascii="Arial" w:cs="Arial" w:eastAsia="Arial" w:hAnsi="Arial"/>
                <w:b/>
                <w:bCs/>
                <w:color w:val="FFFFFF"/>
                <w:sz w:val="19"/>
                <w:szCs w:val="19"/>
              </w:rPr>
              <w:t xml:space="preserve">#</w:t>
            </w:r>
          </w:p>
        </w:tc>
        <w:tc>
          <w:tcPr>
            <w:tcW w:type="dxa" w:w="19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Case Title</w:t>
            </w:r>
          </w:p>
        </w:tc>
        <w:tc>
          <w:tcPr>
            <w:tcW w:type="dxa" w:w="13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City / State</w:t>
            </w:r>
          </w:p>
        </w:tc>
        <w:tc>
          <w:tcPr>
            <w:tcW w:type="dxa" w:w="14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Building Block</w:t>
            </w:r>
          </w:p>
        </w:tc>
        <w:tc>
          <w:tcPr>
            <w:tcW w:type="dxa" w:w="306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One-Line Summary</w:t>
            </w:r>
          </w:p>
        </w:tc>
        <w:tc>
          <w:tcPr>
            <w:tcW w:type="dxa" w:w="1400"/>
            <w:tcBorders>
              <w:top w:val="none" w:color="FFFFFF" w:sz="0"/>
              <w:left w:val="none" w:color="FFFFFF" w:sz="0"/>
              <w:bottom w:val="none" w:color="FFFFFF" w:sz="0"/>
              <w:right w:val="none" w:color="FFFFFF" w:sz="0"/>
            </w:tcBorders>
            <w:shd w:fill="1B3A6B" w:val="clear"/>
            <w:tcMar>
              <w:top w:type="dxa" w:w="100"/>
              <w:left w:type="dxa" w:w="140"/>
              <w:bottom w:type="dxa" w:w="100"/>
              <w:right w:type="dxa" w:w="140"/>
            </w:tcMar>
          </w:tcPr>
          <w:p>
            <w:pPr>
              <w:spacing w:before="0" w:after="0"/>
            </w:pPr>
            <w:r>
              <w:rPr>
                <w:rFonts w:ascii="Arial" w:cs="Arial" w:eastAsia="Arial" w:hAnsi="Arial"/>
                <w:b/>
                <w:bCs/>
                <w:color w:val="FFFFFF"/>
                <w:sz w:val="19"/>
                <w:szCs w:val="19"/>
              </w:rPr>
              <w:t xml:space="preserve">Status in Doc</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1</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Rural Capacity-Building through Mutual Trust</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Bangor, Maine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Trust</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A partnership to create a regional workforce and entrepreneurship center, showing how rural development requires trust-based collaboration that adapts when external circumstances change.</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color w:val="2E7D6B"/>
                <w:sz w:val="18"/>
                <w:szCs w:val="18"/>
              </w:rPr>
              <w:t xml:space="preserve">Primary</w:t>
            </w:r>
          </w:p>
        </w:tc>
      </w:tr>
      <w:tr>
        <w:tc>
          <w:tcPr>
            <w:tcW w:type="dxa" w:w="3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2</w:t>
            </w:r>
          </w:p>
        </w:tc>
        <w:tc>
          <w:tcPr>
            <w:tcW w:type="dxa" w:w="1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Legitimacy Through Visibility</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Omaha, Nebraska</w:t>
            </w:r>
          </w:p>
        </w:tc>
        <w:tc>
          <w:tcPr>
            <w:tcW w:type="dxa" w:w="1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Trust / Shared Narrative</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Embedding community-based business support into regional planning systems — showing how recognition and visibility function as capital that opens institutional doors for CBOs.</w:t>
            </w:r>
          </w:p>
        </w:tc>
        <w:tc>
          <w:tcPr>
            <w:tcW w:type="dxa" w:w="1400"/>
            <w:tcBorders>
              <w:top w:val="single" w:color="DDDDDD" w:sz="4"/>
              <w:left w:val="single" w:color="DDDDDD" w:sz="4"/>
              <w:bottom w:val="single" w:color="DDDDDD" w:sz="4"/>
              <w:right w:val="single" w:color="DDDDDD" w:sz="4"/>
            </w:tcBorders>
            <w:shd w:fill="FFFBF0" w:val="clear"/>
            <w:tcMar>
              <w:top w:type="dxa" w:w="80"/>
              <w:left w:type="dxa" w:w="140"/>
              <w:bottom w:type="dxa" w:w="80"/>
              <w:right w:type="dxa" w:w="140"/>
            </w:tcMar>
            <w:vAlign w:val="top"/>
          </w:tcPr>
          <w:p>
            <w:pPr>
              <w:spacing w:before="0" w:after="0"/>
            </w:pPr>
            <w:r>
              <w:rPr>
                <w:rFonts w:ascii="Arial" w:cs="Arial" w:eastAsia="Arial" w:hAnsi="Arial"/>
                <w:b/>
                <w:bCs/>
                <w:color w:val="D97706"/>
                <w:sz w:val="18"/>
                <w:szCs w:val="18"/>
              </w:rPr>
              <w:t xml:space="preserve">Embedded in Bangor section</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3</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Redevelopment with Local Leadership</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Honolulu, Hawaiʻi</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Structure &amp; Shared Practice</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Shifting redevelopment from top-down planning to resident-led revitalization in the Kalihi neighborhood, emphasizing community leadership and adaptation over rigid timelines.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color w:val="2E7D6B"/>
                <w:sz w:val="18"/>
                <w:szCs w:val="18"/>
              </w:rPr>
              <w:t xml:space="preserve">Primary</w:t>
            </w:r>
          </w:p>
        </w:tc>
      </w:tr>
      <w:tr>
        <w:tc>
          <w:tcPr>
            <w:tcW w:type="dxa" w:w="3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4</w:t>
            </w:r>
          </w:p>
        </w:tc>
        <w:tc>
          <w:tcPr>
            <w:tcW w:type="dxa" w:w="1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Designing for Collaboration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Detroit, Michigan</w:t>
            </w:r>
          </w:p>
        </w:tc>
        <w:tc>
          <w:tcPr>
            <w:tcW w:type="dxa" w:w="1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Facilitation &amp; Project Management</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Creating a toolkit for alternative tenanting strategies in commercial properties — how structured facilitation and willingness to pivot can strengthen cross-sector collaboration.</w:t>
            </w:r>
          </w:p>
        </w:tc>
        <w:tc>
          <w:tcPr>
            <w:tcW w:type="dxa" w:w="1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val="false"/>
                <w:bCs w:val="false"/>
                <w:color w:val="2E7D6B"/>
                <w:sz w:val="18"/>
                <w:szCs w:val="18"/>
              </w:rPr>
              <w:t xml:space="preserve">Primary</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5</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Rebuilding Trust through Structured Facilitation</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Sarasota, Florida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Trust / Facilitation</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Rebuilding trust in a historically disinvested community through structured facilitation and clear decision-making protocols between municipal authority and neighborhood leadership.</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color w:val="2E7D6B"/>
                <w:sz w:val="18"/>
                <w:szCs w:val="18"/>
              </w:rPr>
              <w:t xml:space="preserve">Primary</w:t>
            </w:r>
          </w:p>
        </w:tc>
      </w:tr>
      <w:tr>
        <w:tc>
          <w:tcPr>
            <w:tcW w:type="dxa" w:w="3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6</w:t>
            </w:r>
          </w:p>
        </w:tc>
        <w:tc>
          <w:tcPr>
            <w:tcW w:type="dxa" w:w="1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Reintroductions in Transition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Cleveland, Ohio</w:t>
            </w:r>
          </w:p>
        </w:tc>
        <w:tc>
          <w:tcPr>
            <w:tcW w:type="dxa" w:w="1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Facilitation / Structure</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Realigning partners around the Clark-Fulton Master Plan through facilitated dialogue — how structured processes help partnerships rebuild credibility through leadership transitions.</w:t>
            </w:r>
          </w:p>
        </w:tc>
        <w:tc>
          <w:tcPr>
            <w:tcW w:type="dxa" w:w="1400"/>
            <w:tcBorders>
              <w:top w:val="single" w:color="DDDDDD" w:sz="4"/>
              <w:left w:val="single" w:color="DDDDDD" w:sz="4"/>
              <w:bottom w:val="single" w:color="DDDDDD" w:sz="4"/>
              <w:right w:val="single" w:color="DDDDDD" w:sz="4"/>
            </w:tcBorders>
            <w:shd w:fill="FFFBF0" w:val="clear"/>
            <w:tcMar>
              <w:top w:type="dxa" w:w="80"/>
              <w:left w:type="dxa" w:w="140"/>
              <w:bottom w:type="dxa" w:w="80"/>
              <w:right w:type="dxa" w:w="140"/>
            </w:tcMar>
            <w:vAlign w:val="top"/>
          </w:tcPr>
          <w:p>
            <w:pPr>
              <w:spacing w:before="0" w:after="0"/>
            </w:pPr>
            <w:r>
              <w:rPr>
                <w:rFonts w:ascii="Arial" w:cs="Arial" w:eastAsia="Arial" w:hAnsi="Arial"/>
                <w:b/>
                <w:bCs/>
                <w:color w:val="D97706"/>
                <w:sz w:val="18"/>
                <w:szCs w:val="18"/>
              </w:rPr>
              <w:t xml:space="preserve">Embedded in Sarasota section</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7</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Building Unified Economic Mobility</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Shreveport, Louisiana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Structure &amp; Shared Practice</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Six partners balanced pace and process by developing shared indicators and a public-facing platform, demonstrating how structured collaboration can produce tangible outputs while building durable infrastructure.</w:t>
            </w:r>
          </w:p>
        </w:tc>
        <w:tc>
          <w:tcPr>
            <w:tcW w:type="dxa" w:w="1400"/>
            <w:tcBorders>
              <w:top w:val="single" w:color="DDDDDD" w:sz="4"/>
              <w:left w:val="single" w:color="DDDDDD" w:sz="4"/>
              <w:bottom w:val="single" w:color="DDDDDD" w:sz="4"/>
              <w:right w:val="single" w:color="DDDDDD" w:sz="4"/>
            </w:tcBorders>
            <w:shd w:fill="FFFBF0" w:val="clear"/>
            <w:tcMar>
              <w:top w:type="dxa" w:w="80"/>
              <w:left w:type="dxa" w:w="140"/>
              <w:bottom w:type="dxa" w:w="80"/>
              <w:right w:type="dxa" w:w="140"/>
            </w:tcMar>
            <w:vAlign w:val="top"/>
          </w:tcPr>
          <w:p>
            <w:pPr>
              <w:spacing w:before="0" w:after="0"/>
            </w:pPr>
            <w:r>
              <w:rPr>
                <w:rFonts w:ascii="Arial" w:cs="Arial" w:eastAsia="Arial" w:hAnsi="Arial"/>
                <w:b/>
                <w:bCs/>
                <w:color w:val="D97706"/>
                <w:sz w:val="18"/>
                <w:szCs w:val="18"/>
              </w:rPr>
              <w:t xml:space="preserve">Embedded in Sarasota section</w:t>
            </w:r>
          </w:p>
        </w:tc>
      </w:tr>
      <w:tr>
        <w:tc>
          <w:tcPr>
            <w:tcW w:type="dxa" w:w="300"/>
            <w:tcBorders>
              <w:top w:val="single" w:color="DDDDDD" w:sz="4"/>
              <w:left w:val="single" w:color="DDDDDD" w:sz="4"/>
              <w:bottom w:val="single" w:color="DDDDDD" w:sz="4"/>
              <w:right w:val="single" w:color="DDDDDD" w:sz="4"/>
            </w:tcBorders>
            <w:shd w:fill="F3F6F5"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8</w:t>
            </w:r>
          </w:p>
        </w:tc>
        <w:tc>
          <w:tcPr>
            <w:tcW w:type="dxa" w:w="19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Building Stronger Partnerships through Communication</w:t>
            </w:r>
          </w:p>
        </w:tc>
        <w:tc>
          <w:tcPr>
            <w:tcW w:type="dxa" w:w="13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Sacramento, California</w:t>
            </w:r>
          </w:p>
        </w:tc>
        <w:tc>
          <w:tcPr>
            <w:tcW w:type="dxa" w:w="1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Shared Narrative / Facilitation</w:t>
            </w:r>
          </w:p>
        </w:tc>
        <w:tc>
          <w:tcPr>
            <w:tcW w:type="dxa" w:w="306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Five organizations shifted from isolated programs to coordinated planning and communication in Del Paso Heights, showing how partnership infrastructure itself is the central intervention.</w:t>
            </w:r>
          </w:p>
        </w:tc>
        <w:tc>
          <w:tcPr>
            <w:tcW w:type="dxa" w:w="1400"/>
            <w:tcBorders>
              <w:top w:val="single" w:color="DDDDDD" w:sz="4"/>
              <w:left w:val="single" w:color="DDDDDD" w:sz="4"/>
              <w:bottom w:val="single" w:color="DDDDDD" w:sz="4"/>
              <w:right w:val="single" w:color="DDDDDD" w:sz="4"/>
            </w:tcBorders>
            <w:shd w:fill="F3F6F5" w:val="clear"/>
            <w:tcMar>
              <w:top w:type="dxa" w:w="80"/>
              <w:left w:type="dxa" w:w="140"/>
              <w:bottom w:type="dxa" w:w="80"/>
              <w:right w:type="dxa" w:w="140"/>
            </w:tcMar>
            <w:vAlign w:val="top"/>
          </w:tcPr>
          <w:p>
            <w:pPr>
              <w:spacing w:before="0" w:after="0"/>
            </w:pPr>
            <w:r>
              <w:rPr>
                <w:rFonts w:ascii="Arial" w:cs="Arial" w:eastAsia="Arial" w:hAnsi="Arial"/>
                <w:b w:val="false"/>
                <w:bCs w:val="false"/>
                <w:color w:val="2E7D6B"/>
                <w:sz w:val="18"/>
                <w:szCs w:val="18"/>
              </w:rPr>
              <w:t xml:space="preserve">Primary</w:t>
            </w:r>
          </w:p>
        </w:tc>
      </w:tr>
      <w:tr>
        <w:tc>
          <w:tcPr>
            <w:tcW w:type="dxa" w:w="3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before="0" w:after="0"/>
            </w:pPr>
            <w:r>
              <w:rPr>
                <w:rFonts w:ascii="Arial" w:cs="Arial" w:eastAsia="Arial" w:hAnsi="Arial"/>
                <w:b/>
                <w:bCs/>
                <w:color w:val="1B3A6B"/>
                <w:sz w:val="20"/>
                <w:szCs w:val="20"/>
              </w:rPr>
              <w:t xml:space="preserve">9</w:t>
            </w:r>
          </w:p>
        </w:tc>
        <w:tc>
          <w:tcPr>
            <w:tcW w:type="dxa" w:w="19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B3A6B"/>
                <w:sz w:val="19"/>
                <w:szCs w:val="19"/>
              </w:rPr>
              <w:t xml:space="preserve">Advancing Corridor Redevelopment through Partnership</w:t>
            </w:r>
          </w:p>
        </w:tc>
        <w:tc>
          <w:tcPr>
            <w:tcW w:type="dxa" w:w="13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333333"/>
                <w:sz w:val="19"/>
                <w:szCs w:val="19"/>
              </w:rPr>
              <w:t xml:space="preserve">New Orleans, Louisiana</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2E7D6B"/>
                <w:sz w:val="19"/>
                <w:szCs w:val="19"/>
              </w:rPr>
              <w:t xml:space="preserve">Structure / Facilitation</w:t>
            </w:r>
          </w:p>
        </w:tc>
        <w:tc>
          <w:tcPr>
            <w:tcW w:type="dxa" w:w="30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color w:val="444444"/>
                <w:sz w:val="18"/>
                <w:szCs w:val="18"/>
              </w:rPr>
              <w:t xml:space="preserve">Creating a coordinated business support ecosystem and funding strategy in the Treme and Claiborne Corridor, showing how clear roles and asset mapping enable sustained progress in overlooked corridors.</w:t>
            </w:r>
          </w:p>
        </w:tc>
        <w:tc>
          <w:tcPr>
            <w:tcW w:type="dxa" w:w="1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vAlign w:val="top"/>
          </w:tcPr>
          <w:p>
            <w:pPr>
              <w:spacing w:before="0" w:after="0"/>
            </w:pPr>
            <w:r>
              <w:rPr>
                <w:rFonts w:ascii="Arial" w:cs="Arial" w:eastAsia="Arial" w:hAnsi="Arial"/>
                <w:b w:val="false"/>
                <w:bCs w:val="false"/>
                <w:color w:val="2E7D6B"/>
                <w:sz w:val="18"/>
                <w:szCs w:val="18"/>
              </w:rPr>
              <w:t xml:space="preserve">Primary</w:t>
            </w:r>
          </w:p>
        </w:tc>
      </w:tr>
    </w:tbl>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6B" w:sz="4"/>
              <w:left w:val="single" w:color="2E7D6B" w:sz="24"/>
              <w:bottom w:val="single" w:color="2E7D6B" w:sz="4"/>
              <w:right w:val="single" w:color="2E7D6B" w:sz="4"/>
            </w:tcBorders>
            <w:shd w:fill="EDF4F2" w:val="clear"/>
            <w:tcMar>
              <w:top w:type="dxa" w:w="140"/>
              <w:left w:type="dxa" w:w="200"/>
              <w:bottom w:type="dxa" w:w="140"/>
              <w:right w:type="dxa" w:w="200"/>
            </w:tcMar>
          </w:tcPr>
          <w:p>
            <w:pPr>
              <w:spacing w:before="0" w:after="80"/>
            </w:pPr>
            <w:r>
              <w:rPr>
                <w:rFonts w:ascii="Arial" w:cs="Arial" w:eastAsia="Arial" w:hAnsi="Arial"/>
                <w:b/>
                <w:bCs/>
                <w:color w:val="2E7D6B"/>
                <w:sz w:val="22"/>
                <w:szCs w:val="22"/>
              </w:rPr>
              <w:t xml:space="preserve">Embedded Cases Explained</w:t>
            </w:r>
          </w:p>
          <w:p>
            <w:pPr>
              <w:spacing w:before="0" w:after="50"/>
            </w:pPr>
            <w:r>
              <w:rPr>
                <w:rFonts w:ascii="Arial" w:cs="Arial" w:eastAsia="Arial" w:hAnsi="Arial"/>
                <w:color w:val="333333"/>
                <w:sz w:val="20"/>
                <w:szCs w:val="20"/>
              </w:rPr>
              <w:t xml:space="preserve">Bangor section (Doc Section 9): Contains a full case from Omaha, Nebraska (Latino Economic Development Council + Douglas County). Complete standalone narrative.</w:t>
            </w:r>
          </w:p>
          <w:p>
            <w:pPr>
              <w:spacing w:before="0" w:after="50"/>
            </w:pPr>
            <w:r>
              <w:rPr>
                <w:rFonts w:ascii="Arial" w:cs="Arial" w:eastAsia="Arial" w:hAnsi="Arial"/>
                <w:color w:val="333333"/>
                <w:sz w:val="20"/>
                <w:szCs w:val="20"/>
              </w:rPr>
              <w:t xml:space="preserve">Sarasota section (Doc Section 12): Contains two embedded cases — one from Cleveland, Ohio (MetroHealth + Metro West CDO) and one from Shreveport, Louisiana (SEPA coalition). Both are complete standalone narratives.</w:t>
            </w:r>
          </w:p>
          <w:p>
            <w:pPr>
              <w:spacing w:before="0" w:after="50"/>
            </w:pPr>
            <w:r>
              <w:rPr>
                <w:rFonts w:ascii="Arial" w:cs="Arial" w:eastAsia="Arial" w:hAnsi="Arial"/>
                <w:color w:val="333333"/>
                <w:sz w:val="20"/>
                <w:szCs w:val="20"/>
              </w:rPr>
              <w:t xml:space="preserve">Recommendation: Treat all 9 cases as individual case study pages in the Squarespace build. The embedded cases simply need to be pulled out of their parent sections and given their own pages using the standard case study template.</w:t>
            </w:r>
          </w:p>
        </w:tc>
      </w:tr>
    </w:tbl>
    <w:p>
      <w:pPr>
        <w:spacing w:before="0" w:after="160"/>
      </w:pPr>
      <w:r>
        <w:t xml:space="preserve"/>
      </w:r>
    </w:p>
    <w:p>
      <w:pPr>
        <w:spacing w:before="280" w:after="140"/>
      </w:pPr>
      <w:r>
        <w:rPr>
          <w:rFonts w:ascii="Arial" w:cs="Arial" w:eastAsia="Arial" w:hAnsi="Arial"/>
          <w:b/>
          <w:bCs/>
          <w:color w:val="1B3A6B"/>
          <w:sz w:val="36"/>
          <w:szCs w:val="36"/>
        </w:rPr>
        <w:t xml:space="preserve">Building Block Distribution</w:t>
      </w:r>
    </w:p>
    <w:p>
      <w:pPr>
        <w:spacing w:before="0" w:after="100"/>
      </w:pPr>
      <w:r>
        <w:rPr>
          <w:rFonts w:ascii="Arial" w:cs="Arial" w:eastAsia="Arial" w:hAnsi="Arial"/>
          <w:color w:val="333333"/>
          <w:sz w:val="22"/>
          <w:szCs w:val="22"/>
        </w:rPr>
        <w:t xml:space="preserve">The 9 cases map across all four building blocks, with Facilitation &amp; Project Management appearing most frequently as either a primary or contributing theme.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6B" w:val="clear"/>
            <w:tcMar>
              <w:top w:type="dxa" w:w="140"/>
              <w:left w:type="dxa" w:w="160"/>
              <w:bottom w:type="dxa" w:w="140"/>
              <w:right w:type="dxa" w:w="160"/>
            </w:tcMar>
          </w:tcPr>
          <w:p>
            <w:pPr>
              <w:spacing w:before="0" w:after="60"/>
              <w:jc w:val="center"/>
            </w:pPr>
            <w:r>
              <w:rPr>
                <w:rFonts w:ascii="Arial" w:cs="Arial" w:eastAsia="Arial" w:hAnsi="Arial"/>
                <w:b/>
                <w:bCs/>
                <w:color w:val="FFFFFF"/>
                <w:sz w:val="22"/>
                <w:szCs w:val="22"/>
              </w:rPr>
              <w:t xml:space="preserve">Trust</w:t>
            </w:r>
          </w:p>
          <w:p>
            <w:pPr>
              <w:spacing w:before="0" w:after="0"/>
              <w:jc w:val="center"/>
            </w:pPr>
            <w:r>
              <w:rPr>
                <w:rFonts w:ascii="Arial" w:cs="Arial" w:eastAsia="Arial" w:hAnsi="Arial"/>
                <w:color w:val="C9DED9"/>
                <w:sz w:val="19"/>
                <w:szCs w:val="19"/>
              </w:rPr>
              <w:t xml:space="preserve">Bangor ME
Omaha NE
Sarasota FL</w:t>
            </w:r>
          </w:p>
        </w:tc>
        <w:tc>
          <w:tcPr>
            <w:tcW w:type="dxa" w:w="2340"/>
            <w:tcBorders>
              <w:top w:val="none" w:color="FFFFFF" w:sz="0"/>
              <w:left w:val="none" w:color="FFFFFF" w:sz="0"/>
              <w:bottom w:val="none" w:color="FFFFFF" w:sz="0"/>
              <w:right w:val="none" w:color="FFFFFF" w:sz="0"/>
            </w:tcBorders>
            <w:shd w:fill="2E7D6B" w:val="clear"/>
            <w:tcMar>
              <w:top w:type="dxa" w:w="140"/>
              <w:left w:type="dxa" w:w="160"/>
              <w:bottom w:type="dxa" w:w="140"/>
              <w:right w:type="dxa" w:w="160"/>
            </w:tcMar>
          </w:tcPr>
          <w:p>
            <w:pPr>
              <w:spacing w:before="0" w:after="60"/>
              <w:jc w:val="center"/>
            </w:pPr>
            <w:r>
              <w:rPr>
                <w:rFonts w:ascii="Arial" w:cs="Arial" w:eastAsia="Arial" w:hAnsi="Arial"/>
                <w:b/>
                <w:bCs/>
                <w:color w:val="FFFFFF"/>
                <w:sz w:val="22"/>
                <w:szCs w:val="22"/>
              </w:rPr>
              <w:t xml:space="preserve">Shared Narrative</w:t>
            </w:r>
          </w:p>
          <w:p>
            <w:pPr>
              <w:spacing w:before="0" w:after="0"/>
              <w:jc w:val="center"/>
            </w:pPr>
            <w:r>
              <w:rPr>
                <w:rFonts w:ascii="Arial" w:cs="Arial" w:eastAsia="Arial" w:hAnsi="Arial"/>
                <w:color w:val="EDF4F2"/>
                <w:sz w:val="19"/>
                <w:szCs w:val="19"/>
              </w:rPr>
              <w:t xml:space="preserve">Omaha NE
Sacramento CA</w:t>
            </w:r>
          </w:p>
        </w:tc>
        <w:tc>
          <w:tcPr>
            <w:tcW w:type="dxa" w:w="2340"/>
            <w:tcBorders>
              <w:top w:val="none" w:color="FFFFFF" w:sz="0"/>
              <w:left w:val="none" w:color="FFFFFF" w:sz="0"/>
              <w:bottom w:val="none" w:color="FFFFFF" w:sz="0"/>
              <w:right w:val="none" w:color="FFFFFF" w:sz="0"/>
            </w:tcBorders>
            <w:shd w:fill="7B341E" w:val="clear"/>
            <w:tcMar>
              <w:top w:type="dxa" w:w="140"/>
              <w:left w:type="dxa" w:w="160"/>
              <w:bottom w:type="dxa" w:w="140"/>
              <w:right w:type="dxa" w:w="160"/>
            </w:tcMar>
          </w:tcPr>
          <w:p>
            <w:pPr>
              <w:spacing w:before="0" w:after="60"/>
              <w:jc w:val="center"/>
            </w:pPr>
            <w:r>
              <w:rPr>
                <w:rFonts w:ascii="Arial" w:cs="Arial" w:eastAsia="Arial" w:hAnsi="Arial"/>
                <w:b/>
                <w:bCs/>
                <w:color w:val="FFFFFF"/>
                <w:sz w:val="22"/>
                <w:szCs w:val="22"/>
              </w:rPr>
              <w:t xml:space="preserve">Facilitation &amp; PM</w:t>
            </w:r>
          </w:p>
          <w:p>
            <w:pPr>
              <w:spacing w:before="0" w:after="0"/>
              <w:jc w:val="center"/>
            </w:pPr>
            <w:r>
              <w:rPr>
                <w:rFonts w:ascii="Arial" w:cs="Arial" w:eastAsia="Arial" w:hAnsi="Arial"/>
                <w:color w:val="FECACA"/>
                <w:sz w:val="19"/>
                <w:szCs w:val="19"/>
              </w:rPr>
              <w:t xml:space="preserve">Detroit MI
Sarasota FL
Cleveland OH
Sacramento CA
New Orleans LA</w:t>
            </w:r>
          </w:p>
        </w:tc>
        <w:tc>
          <w:tcPr>
            <w:tcW w:type="dxa" w:w="2340"/>
            <w:tcBorders>
              <w:top w:val="none" w:color="FFFFFF" w:sz="0"/>
              <w:left w:val="none" w:color="FFFFFF" w:sz="0"/>
              <w:bottom w:val="none" w:color="FFFFFF" w:sz="0"/>
              <w:right w:val="none" w:color="FFFFFF" w:sz="0"/>
            </w:tcBorders>
            <w:shd w:fill="553C9A" w:val="clear"/>
            <w:tcMar>
              <w:top w:type="dxa" w:w="140"/>
              <w:left w:type="dxa" w:w="160"/>
              <w:bottom w:type="dxa" w:w="140"/>
              <w:right w:type="dxa" w:w="160"/>
            </w:tcMar>
          </w:tcPr>
          <w:p>
            <w:pPr>
              <w:spacing w:before="0" w:after="60"/>
              <w:jc w:val="center"/>
            </w:pPr>
            <w:r>
              <w:rPr>
                <w:rFonts w:ascii="Arial" w:cs="Arial" w:eastAsia="Arial" w:hAnsi="Arial"/>
                <w:b/>
                <w:bCs/>
                <w:color w:val="FFFFFF"/>
                <w:sz w:val="22"/>
                <w:szCs w:val="22"/>
              </w:rPr>
              <w:t xml:space="preserve">Structure &amp; Practice</w:t>
            </w:r>
          </w:p>
          <w:p>
            <w:pPr>
              <w:spacing w:before="0" w:after="0"/>
              <w:jc w:val="center"/>
            </w:pPr>
            <w:r>
              <w:rPr>
                <w:rFonts w:ascii="Arial" w:cs="Arial" w:eastAsia="Arial" w:hAnsi="Arial"/>
                <w:color w:val="DDD6FE"/>
                <w:sz w:val="19"/>
                <w:szCs w:val="19"/>
              </w:rPr>
              <w:t xml:space="preserve">Honolulu HI
Shreveport LA
New Orleans LA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ED9" w:sz="4" w:space="1"/>
      </w:pBdr>
      <w:tabs>
        <w:tab w:val="right" w:pos="9026"/>
      </w:tabs>
      <w:spacing w:before="80" w:after="0"/>
    </w:pPr>
    <w:r>
      <w:rPr>
        <w:rFonts w:ascii="Arial" w:cs="Arial" w:eastAsia="Arial" w:hAnsi="Arial"/>
        <w:color w:val="6B7280"/>
        <w:sz w:val="18"/>
        <w:szCs w:val="18"/>
      </w:rPr>
      <w:t xml:space="preserve">Pocketknife  |  Confidential</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ED9" w:sz="4" w:space="1"/>
      </w:pBdr>
      <w:tabs>
        <w:tab w:val="right" w:pos="9026"/>
      </w:tabs>
      <w:spacing w:before="0" w:after="80"/>
    </w:pPr>
    <w:r>
      <w:rPr>
        <w:rFonts w:ascii="Arial" w:cs="Arial" w:eastAsia="Arial" w:hAnsi="Arial"/>
        <w:color w:val="6B7280"/>
        <w:sz w:val="18"/>
        <w:szCs w:val="18"/>
      </w:rPr>
      <w:t xml:space="preserve">NGIN Alliance Playbook  |  Case Study Audit</w:t>
    </w:r>
    <w:r>
      <w:rPr>
        <w:rFonts w:ascii="Arial" w:cs="Arial" w:eastAsia="Arial" w:hAnsi="Arial"/>
        <w:color w:val="6B7280"/>
        <w:sz w:val="18"/>
        <w:szCs w:val="18"/>
      </w:rPr>
      <w:t xml:space="preserve">	Feb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2026-02-23T17:29:17.516Z</dcterms:created>
  <dcterms:modified xsi:type="dcterms:W3CDTF">2026-02-23T17:29:17.516Z</dcterms:modified>
</cp:coreProperties>
</file>

<file path=docProps/custom.xml><?xml version="1.0" encoding="utf-8"?>
<Properties xmlns="http://schemas.openxmlformats.org/officeDocument/2006/custom-properties" xmlns:vt="http://schemas.openxmlformats.org/officeDocument/2006/docPropsVTypes"/>
</file>