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80"/>
      </w:pPr>
      <w:r>
        <w:rPr>
          <w:rFonts w:ascii="Arial" w:cs="Arial" w:eastAsia="Arial" w:hAnsi="Arial"/>
          <w:b/>
          <w:bCs/>
          <w:color w:val="1B3A6B"/>
          <w:sz w:val="48"/>
          <w:szCs w:val="48"/>
        </w:rPr>
        <w:t xml:space="preserve">NGIN Alliance Playbook</w:t>
      </w:r>
    </w:p>
    <w:p>
      <w:pPr>
        <w:spacing w:before="0" w:after="60"/>
      </w:pPr>
      <w:r>
        <w:rPr>
          <w:rFonts w:ascii="Arial" w:cs="Arial" w:eastAsia="Arial" w:hAnsi="Arial"/>
          <w:color w:val="2E7D6B"/>
          <w:sz w:val="28"/>
          <w:szCs w:val="28"/>
        </w:rPr>
        <w:t xml:space="preserve">Project Kickoff Meeting</w:t>
      </w:r>
    </w:p>
    <w:p>
      <w:pPr>
        <w:spacing w:before="0" w:after="60"/>
      </w:pPr>
      <w:r>
        <w:rPr>
          <w:rFonts w:ascii="Arial" w:cs="Arial" w:eastAsia="Arial" w:hAnsi="Arial"/>
          <w:color w:val="6B7280"/>
          <w:sz w:val="22"/>
          <w:szCs w:val="22"/>
        </w:rPr>
        <w:t xml:space="preserve">February 23, 2026  ·  1:00 PM</w:t>
      </w:r>
    </w:p>
    <w:p>
      <w:pPr>
        <w:spacing w:before="0" w:after="60"/>
      </w:pPr>
      <w:r>
        <w:rPr>
          <w:rFonts w:ascii="Arial" w:cs="Arial" w:eastAsia="Arial" w:hAnsi="Arial"/>
          <w:color w:val="6B7280"/>
          <w:sz w:val="22"/>
          <w:szCs w:val="22"/>
        </w:rPr>
        <w:t xml:space="preserve">Pocketknife  ·  jared@pocketknife.design</w:t>
      </w:r>
    </w:p>
    <w:p>
      <w:pPr>
        <w:pBdr>
          <w:bottom w:val="single" w:color="C9DED9" w:sz="6" w:space="1"/>
        </w:pBdr>
        <w:spacing w:before="180" w:after="180"/>
      </w:pPr>
      <w:r>
        <w:t xml:space="preserve"/>
      </w:r>
    </w:p>
    <w:p>
      <w:pPr>
        <w:pBdr>
          <w:bottom w:val="single" w:color="2E7D6B" w:sz="4" w:space="1"/>
        </w:pBdr>
        <w:spacing w:before="320" w:after="80"/>
      </w:pPr>
      <w:r>
        <w:rPr>
          <w:rFonts w:ascii="Arial" w:cs="Arial" w:eastAsia="Arial" w:hAnsi="Arial"/>
          <w:b/>
          <w:bCs/>
          <w:color w:val="2E7D6B"/>
          <w:spacing w:val="80"/>
          <w:sz w:val="18"/>
          <w:szCs w:val="18"/>
        </w:rPr>
        <w:t xml:space="preserve">SECTION 1</w:t>
      </w:r>
    </w:p>
    <w:p>
      <w:pPr>
        <w:spacing w:before="60" w:after="120"/>
      </w:pPr>
      <w:r>
        <w:rPr>
          <w:rFonts w:ascii="Arial" w:cs="Arial" w:eastAsia="Arial" w:hAnsi="Arial"/>
          <w:b/>
          <w:bCs/>
          <w:color w:val="1B3A6B"/>
          <w:sz w:val="36"/>
          <w:szCs w:val="36"/>
        </w:rPr>
        <w:t xml:space="preserve">Meeting Agenda</w:t>
      </w:r>
    </w:p>
    <w:p>
      <w:pPr>
        <w:spacing w:before="0" w:after="100"/>
      </w:pPr>
      <w:r>
        <w:rPr>
          <w:rFonts w:ascii="Arial" w:cs="Arial" w:eastAsia="Arial" w:hAnsi="Arial"/>
          <w:color w:val="444444"/>
          <w:sz w:val="22"/>
          <w:szCs w:val="22"/>
        </w:rPr>
        <w:t xml:space="preserve">The following agenda is intended to guide our conversation today. Our goal is to align on timeline, confirm content scope, and establish a clear plan of action for both teams going into Phase 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c>
          <w:tcPr>
            <w:tcW w:type="dxa" w:w="11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Time</w:t>
            </w:r>
          </w:p>
        </w:tc>
        <w:tc>
          <w:tcPr>
            <w:tcW w:type="dxa" w:w="23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Topic</w:t>
            </w:r>
          </w:p>
        </w:tc>
        <w:tc>
          <w:tcPr>
            <w:tcW w:type="dxa" w:w="59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Description</w:t>
            </w:r>
          </w:p>
        </w:tc>
      </w:tr>
      <w:tr>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0:00 – 0:05</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Welcome &amp; Introductions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Brief introductions and context-setting. Overview of today’s agenda and goals for the call.</w:t>
            </w:r>
          </w:p>
        </w:tc>
      </w:tr>
      <w:tr>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0:05 – 0:15</w:t>
            </w:r>
          </w:p>
        </w:tc>
        <w:tc>
          <w:tcPr>
            <w:tcW w:type="dxa" w:w="2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Platform &amp; Technical Setup</w:t>
            </w:r>
          </w:p>
        </w:tc>
        <w:tc>
          <w:tcPr>
            <w:tcW w:type="dxa" w:w="59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Confirm the microsite build on playbook.newgrowth.org (Squarespace 7.1). Review DNS requirements for subdomain setup, Squarespace account ownership, and Google Analytics / Search Console access.</w:t>
            </w:r>
          </w:p>
        </w:tc>
      </w:tr>
      <w:tr>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0:15 – 0:25</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Project Timeline &amp; Milestone Review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Walk through the updated 7-week schedule (Feb 23 – Apr 13). Review each phase, key deliverables, and the milestone-based payment schedule. Confirm payment terms and phase-start dependencies.</w:t>
            </w:r>
          </w:p>
        </w:tc>
      </w:tr>
      <w:tr>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0:25 – 0:40</w:t>
            </w:r>
          </w:p>
        </w:tc>
        <w:tc>
          <w:tcPr>
            <w:tcW w:type="dxa" w:w="2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Content Review: Case Studies, Tools &amp; Site Structure</w:t>
            </w:r>
          </w:p>
        </w:tc>
        <w:tc>
          <w:tcPr>
            <w:tcW w:type="dxa" w:w="59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Review the full content inventory — 9 case study narratives and 15 tools. Confirm case study page count and whether additional content is forthcoming. Determine format for the Resources Bank (downloadable files, web content, or both). Align on the content responsibility plan and key deadlines.</w:t>
            </w:r>
          </w:p>
        </w:tc>
      </w:tr>
      <w:tr>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0:40 – 0:50</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Assets, Access &amp; Communication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Confirm delivery of brand guidelines, logo files, and photography. Establish communication norms: preferred tools, response times, and feedback format. Identify primary point of contact and approval authority on the NGIN side.</w:t>
            </w:r>
          </w:p>
        </w:tc>
      </w:tr>
      <w:tr>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0:50 – 0:55</w:t>
            </w:r>
          </w:p>
        </w:tc>
        <w:tc>
          <w:tcPr>
            <w:tcW w:type="dxa" w:w="2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Framework Visuals (Optional Add-On)</w:t>
            </w:r>
          </w:p>
        </w:tc>
        <w:tc>
          <w:tcPr>
            <w:tcW w:type="dxa" w:w="59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Brief discussion of the optional custom infographics package ($3,500) for the Framework &amp; Insights page. Not required to decide today — follow-up in writing if needed.</w:t>
            </w:r>
          </w:p>
        </w:tc>
      </w:tr>
      <w:tr>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0:55 – 1:00</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Next Steps &amp; Action Items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Confirm Phase 1 deliverables and owners. Agree on first check-in date. Recap any open items.</w:t>
            </w:r>
          </w:p>
        </w:tc>
      </w:tr>
    </w:tbl>
    <w:p>
      <w:r>
        <w:br w:type="page"/>
      </w:r>
    </w:p>
    <w:p>
      <w:pPr>
        <w:pBdr>
          <w:bottom w:val="single" w:color="2E7D6B" w:sz="4" w:space="1"/>
        </w:pBdr>
        <w:spacing w:before="320" w:after="80"/>
      </w:pPr>
      <w:r>
        <w:rPr>
          <w:rFonts w:ascii="Arial" w:cs="Arial" w:eastAsia="Arial" w:hAnsi="Arial"/>
          <w:b/>
          <w:bCs/>
          <w:color w:val="2E7D6B"/>
          <w:spacing w:val="80"/>
          <w:sz w:val="18"/>
          <w:szCs w:val="18"/>
        </w:rPr>
        <w:t xml:space="preserve">SECTION 2</w:t>
      </w:r>
    </w:p>
    <w:p>
      <w:pPr>
        <w:spacing w:before="60" w:after="120"/>
      </w:pPr>
      <w:r>
        <w:rPr>
          <w:rFonts w:ascii="Arial" w:cs="Arial" w:eastAsia="Arial" w:hAnsi="Arial"/>
          <w:b/>
          <w:bCs/>
          <w:color w:val="1B3A6B"/>
          <w:sz w:val="36"/>
          <w:szCs w:val="36"/>
        </w:rPr>
        <w:t xml:space="preserve">Content Overview</w:t>
      </w:r>
    </w:p>
    <w:p>
      <w:pPr>
        <w:spacing w:before="0" w:after="100"/>
      </w:pPr>
      <w:r>
        <w:rPr>
          <w:rFonts w:ascii="Arial" w:cs="Arial" w:eastAsia="Arial" w:hAnsi="Arial"/>
          <w:color w:val="444444"/>
          <w:sz w:val="22"/>
          <w:szCs w:val="22"/>
        </w:rPr>
        <w:t xml:space="preserve">The Alliance Playbook document contains 9 fully written case study narratives and 15 practical tools and templates. Below is a complete inventory of both, followed by a set of questions we’d like to align on before Phase 3 development begins.</w:t>
      </w:r>
    </w:p>
    <w:p>
      <w:pPr>
        <w:spacing w:before="0" w:after="40"/>
      </w:pPr>
      <w:r>
        <w:t xml:space="preserve"/>
      </w:r>
    </w:p>
    <w:p>
      <w:pPr>
        <w:spacing w:before="260" w:after="100"/>
      </w:pPr>
      <w:r>
        <w:rPr>
          <w:rFonts w:ascii="Arial" w:cs="Arial" w:eastAsia="Arial" w:hAnsi="Arial"/>
          <w:b/>
          <w:bCs/>
          <w:color w:val="2E7D6B"/>
          <w:sz w:val="26"/>
          <w:szCs w:val="26"/>
        </w:rPr>
        <w:t xml:space="preserve">Case Studies  —  9 Documented</w:t>
      </w:r>
    </w:p>
    <w:p>
      <w:pPr>
        <w:spacing w:before="0" w:after="100"/>
      </w:pPr>
      <w:r>
        <w:rPr>
          <w:rFonts w:ascii="Arial" w:cs="Arial" w:eastAsia="Arial" w:hAnsi="Arial"/>
          <w:color w:val="444444"/>
          <w:sz w:val="22"/>
          <w:szCs w:val="22"/>
        </w:rPr>
        <w:t xml:space="preserve">The proposal scoped approximately 24+ case study pages based on NGIN’s reported 24 partnerships. The Playbook document contains 9 fully written narratives. Three of these are currently embedded within other city sections and will each be given their own standalone page.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1300"/>
        <w:gridCol w:w="2400"/>
        <w:gridCol w:w="2600"/>
      </w:tblGrid>
      <w:tr>
        <w:tc>
          <w:tcPr>
            <w:tcW w:type="dxa" w:w="360"/>
            <w:tcBorders>
              <w:top w:val="none" w:color="FFFFFF" w:sz="0"/>
              <w:left w:val="none" w:color="FFFFFF" w:sz="0"/>
              <w:bottom w:val="none" w:color="FFFFFF" w:sz="0"/>
              <w:right w:val="none" w:color="FFFFFF" w:sz="0"/>
            </w:tcBorders>
            <w:shd w:fill="2E7D6B"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w:t>
            </w:r>
          </w:p>
        </w:tc>
        <w:tc>
          <w:tcPr>
            <w:tcW w:type="dxa" w:w="27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Case Title</w:t>
            </w:r>
          </w:p>
        </w:tc>
        <w:tc>
          <w:tcPr>
            <w:tcW w:type="dxa" w:w="13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City</w:t>
            </w:r>
          </w:p>
        </w:tc>
        <w:tc>
          <w:tcPr>
            <w:tcW w:type="dxa" w:w="24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Theme</w:t>
            </w:r>
          </w:p>
        </w:tc>
        <w:tc>
          <w:tcPr>
            <w:tcW w:type="dxa" w:w="26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Notes</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w:t>
            </w:r>
          </w:p>
        </w:tc>
        <w:tc>
          <w:tcPr>
            <w:tcW w:type="dxa" w:w="2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Rural Capacity-Building through Mutual Trust</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Bangor, ME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 &amp; Structured Collaboration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2</w:t>
            </w:r>
          </w:p>
        </w:tc>
        <w:tc>
          <w:tcPr>
            <w:tcW w:type="dxa" w:w="2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Legitimacy Through Visibility</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Omaha, NE</w:t>
            </w:r>
          </w:p>
        </w:tc>
        <w:tc>
          <w:tcPr>
            <w:tcW w:type="dxa" w:w="2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CBO Recognition &amp; Regional Integration</w:t>
            </w:r>
          </w:p>
        </w:tc>
        <w:tc>
          <w:tcPr>
            <w:tcW w:type="dxa" w:w="2600"/>
            <w:tcBorders>
              <w:top w:val="single" w:color="DDDDDD" w:sz="4"/>
              <w:left w:val="single" w:color="DDDDDD" w:sz="4"/>
              <w:bottom w:val="single" w:color="DDDDDD" w:sz="4"/>
              <w:right w:val="single" w:color="DDDDDD" w:sz="4"/>
            </w:tcBorders>
            <w:shd w:fill="FFFBF0"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Currently embedded within Bangor section</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3</w:t>
            </w:r>
          </w:p>
        </w:tc>
        <w:tc>
          <w:tcPr>
            <w:tcW w:type="dxa" w:w="2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Redevelopment with Local Leadership</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Honolulu, HI</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Resident-Led Revitalization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4</w:t>
            </w:r>
          </w:p>
        </w:tc>
        <w:tc>
          <w:tcPr>
            <w:tcW w:type="dxa" w:w="2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Designing for Collaboration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Detroit, MI</w:t>
            </w:r>
          </w:p>
        </w:tc>
        <w:tc>
          <w:tcPr>
            <w:tcW w:type="dxa" w:w="2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Commercial Corridor Revitalization</w:t>
            </w:r>
          </w:p>
        </w:tc>
        <w:tc>
          <w:tcPr>
            <w:tcW w:type="dxa" w:w="2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5</w:t>
            </w:r>
          </w:p>
        </w:tc>
        <w:tc>
          <w:tcPr>
            <w:tcW w:type="dxa" w:w="2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Rebuilding Trust through Structured Facilitation</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Sarasota, FL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Municipal-Neighborhood Trust Repair</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6</w:t>
            </w:r>
          </w:p>
        </w:tc>
        <w:tc>
          <w:tcPr>
            <w:tcW w:type="dxa" w:w="2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Reintroductions in Transition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Cleveland, OH</w:t>
            </w:r>
          </w:p>
        </w:tc>
        <w:tc>
          <w:tcPr>
            <w:tcW w:type="dxa" w:w="2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Accountability Through Leadership Change</w:t>
            </w:r>
          </w:p>
        </w:tc>
        <w:tc>
          <w:tcPr>
            <w:tcW w:type="dxa" w:w="2600"/>
            <w:tcBorders>
              <w:top w:val="single" w:color="DDDDDD" w:sz="4"/>
              <w:left w:val="single" w:color="DDDDDD" w:sz="4"/>
              <w:bottom w:val="single" w:color="DDDDDD" w:sz="4"/>
              <w:right w:val="single" w:color="DDDDDD" w:sz="4"/>
            </w:tcBorders>
            <w:shd w:fill="FFFBF0"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Currently embedded within Sarasota section</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7</w:t>
            </w:r>
          </w:p>
        </w:tc>
        <w:tc>
          <w:tcPr>
            <w:tcW w:type="dxa" w:w="2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Building Unified Economic Mobility</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Shreveport, LA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Shared Indicators &amp; Coalition Infrastructure</w:t>
            </w:r>
          </w:p>
        </w:tc>
        <w:tc>
          <w:tcPr>
            <w:tcW w:type="dxa" w:w="2600"/>
            <w:tcBorders>
              <w:top w:val="single" w:color="DDDDDD" w:sz="4"/>
              <w:left w:val="single" w:color="DDDDDD" w:sz="4"/>
              <w:bottom w:val="single" w:color="DDDDDD" w:sz="4"/>
              <w:right w:val="single" w:color="DDDDDD" w:sz="4"/>
            </w:tcBorders>
            <w:shd w:fill="FFFBF0"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Currently embedded within Sarasota section</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8</w:t>
            </w:r>
          </w:p>
        </w:tc>
        <w:tc>
          <w:tcPr>
            <w:tcW w:type="dxa" w:w="2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Building Stronger Partnerships through Communication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Sacramento, CA</w:t>
            </w:r>
          </w:p>
        </w:tc>
        <w:tc>
          <w:tcPr>
            <w:tcW w:type="dxa" w:w="2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Small Business &amp; Neighborhood Development</w:t>
            </w:r>
          </w:p>
        </w:tc>
        <w:tc>
          <w:tcPr>
            <w:tcW w:type="dxa" w:w="2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9</w:t>
            </w:r>
          </w:p>
        </w:tc>
        <w:tc>
          <w:tcPr>
            <w:tcW w:type="dxa" w:w="2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Advancing Corridor Redevelopment through Partnership</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New Orleans, LA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Corridor Revitalization &amp; Asset Mapping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4"/>
              <w:left w:val="single" w:color="2E7D6B" w:sz="24"/>
              <w:bottom w:val="single" w:color="2E7D6B" w:sz="4"/>
              <w:right w:val="single" w:color="2E7D6B" w:sz="4"/>
            </w:tcBorders>
            <w:shd w:fill="EDF4F2" w:val="clear"/>
            <w:tcMar>
              <w:top w:type="dxa" w:w="140"/>
              <w:left w:type="dxa" w:w="200"/>
              <w:bottom w:type="dxa" w:w="140"/>
              <w:right w:type="dxa" w:w="200"/>
            </w:tcMar>
          </w:tcPr>
          <w:p>
            <w:pPr>
              <w:spacing w:before="0" w:after="60"/>
            </w:pPr>
            <w:r>
              <w:rPr>
                <w:rFonts w:ascii="Arial" w:cs="Arial" w:eastAsia="Arial" w:hAnsi="Arial"/>
                <w:b/>
                <w:bCs/>
                <w:color w:val="2E7D6B"/>
                <w:sz w:val="20"/>
                <w:szCs w:val="20"/>
              </w:rPr>
              <w:t xml:space="preserve">Case Study Questions</w:t>
            </w:r>
          </w:p>
          <w:p>
            <w:pPr>
              <w:spacing w:before="0" w:after="60"/>
            </w:pPr>
            <w:r>
              <w:rPr>
                <w:rFonts w:ascii="Arial" w:cs="Arial" w:eastAsia="Arial" w:hAnsi="Arial"/>
                <w:b w:val="false"/>
                <w:bCs w:val="false"/>
                <w:color w:val="333333"/>
                <w:sz w:val="20"/>
                <w:szCs w:val="20"/>
              </w:rPr>
              <w:t xml:space="preserve">1.  The proposal references approximately 24+ case study pages. The Playbook document contains 9 fully written narratives. Please confirm: are we launching with these 9 cases, or is additional case content being prepared?</w:t>
            </w:r>
          </w:p>
          <w:p>
            <w:pPr>
              <w:spacing w:before="0" w:after="60"/>
            </w:pPr>
            <w:r>
              <w:rPr>
                <w:rFonts w:ascii="Arial" w:cs="Arial" w:eastAsia="Arial" w:hAnsi="Arial"/>
                <w:b w:val="false"/>
                <w:bCs w:val="false"/>
                <w:color w:val="333333"/>
                <w:sz w:val="20"/>
                <w:szCs w:val="20"/>
              </w:rPr>
              <w:t xml:space="preserve">2.  For the 3 cases currently embedded within other city sections (Omaha, Cleveland, Shreveport) — please confirm these should each be published as individual case study pages.</w:t>
            </w:r>
          </w:p>
          <w:p>
            <w:pPr>
              <w:spacing w:before="0" w:after="60"/>
            </w:pPr>
            <w:r>
              <w:rPr>
                <w:rFonts w:ascii="Arial" w:cs="Arial" w:eastAsia="Arial" w:hAnsi="Arial"/>
                <w:b w:val="false"/>
                <w:bCs w:val="false"/>
                <w:color w:val="333333"/>
                <w:sz w:val="20"/>
                <w:szCs w:val="20"/>
              </w:rPr>
              <w:t xml:space="preserve">3.  Does each case study have supporting assets such as photographs, organization logos, or data? If so, who is responsible for gathering and delivering these?</w:t>
            </w:r>
          </w:p>
          <w:p>
            <w:pPr>
              <w:spacing w:before="0" w:after="60"/>
            </w:pPr>
            <w:r>
              <w:rPr>
                <w:rFonts w:ascii="Arial" w:cs="Arial" w:eastAsia="Arial" w:hAnsi="Arial"/>
                <w:b w:val="false"/>
                <w:bCs w:val="false"/>
                <w:color w:val="333333"/>
                <w:sz w:val="20"/>
                <w:szCs w:val="20"/>
              </w:rPr>
              <w:t xml:space="preserve">4.  What is the preferred sort order or grouping for case studies on the Cities Index page (e.g., geographic, alphabetical, by building block theme)?</w:t>
            </w:r>
          </w:p>
          <w:p>
            <w:pPr>
              <w:spacing w:before="0" w:after="0"/>
            </w:pPr>
            <w:r>
              <w:rPr>
                <w:rFonts w:ascii="Arial" w:cs="Arial" w:eastAsia="Arial" w:hAnsi="Arial"/>
                <w:b w:val="false"/>
                <w:bCs w:val="false"/>
                <w:color w:val="333333"/>
                <w:sz w:val="20"/>
                <w:szCs w:val="20"/>
              </w:rPr>
              <w:t xml:space="preserve">5.  Are additional case studies expected to be added to the site after launch?</w:t>
            </w:r>
          </w:p>
        </w:tc>
      </w:tr>
    </w:tbl>
    <w:p>
      <w:pPr>
        <w:spacing w:before="0" w:after="160"/>
      </w:pPr>
      <w:r>
        <w:t xml:space="preserve"/>
      </w:r>
    </w:p>
    <w:p>
      <w:pPr>
        <w:spacing w:before="260" w:after="100"/>
      </w:pPr>
      <w:r>
        <w:rPr>
          <w:rFonts w:ascii="Arial" w:cs="Arial" w:eastAsia="Arial" w:hAnsi="Arial"/>
          <w:b/>
          <w:bCs/>
          <w:color w:val="2E7D6B"/>
          <w:sz w:val="26"/>
          <w:szCs w:val="26"/>
        </w:rPr>
        <w:t xml:space="preserve">Resources Bank  —  15 Tools &amp; Templates</w:t>
      </w:r>
    </w:p>
    <w:p>
      <w:pPr>
        <w:spacing w:before="0" w:after="100"/>
      </w:pPr>
      <w:r>
        <w:rPr>
          <w:rFonts w:ascii="Arial" w:cs="Arial" w:eastAsia="Arial" w:hAnsi="Arial"/>
          <w:color w:val="444444"/>
          <w:sz w:val="22"/>
          <w:szCs w:val="22"/>
        </w:rPr>
        <w:t xml:space="preserve">All 15 tools are fully written in the Playbook document. Each ranges from a single-page template to a multi-section kit with 5–7 subsections. Below is the complete list, organized by the building block each tool primarily supports.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none" w:color="FFFFFF" w:sz="0"/>
              <w:left w:val="none" w:color="FFFFFF" w:sz="0"/>
              <w:bottom w:val="none" w:color="FFFFFF" w:sz="0"/>
              <w:right w:val="none" w:color="FFFFFF" w:sz="0"/>
            </w:tcBorders>
            <w:shd w:fill="2E7D6B"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w:t>
            </w:r>
          </w:p>
        </w:tc>
        <w:tc>
          <w:tcPr>
            <w:tcW w:type="dxa" w:w="556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Tool Name</w:t>
            </w:r>
          </w:p>
        </w:tc>
        <w:tc>
          <w:tcPr>
            <w:tcW w:type="dxa" w:w="34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Building Block</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Coalition Continuity Framework</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2</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Rapid Action Planning Template</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3</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Positionality Statement Development &amp; Sharing</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4</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Power-Sharing Charter Template</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 / Structure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5</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Internal Alignment Self-Assessment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6</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Convenor Selection Tool</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7</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Meeting Cadence &amp; Accountability Kit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8</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Narrative Building Training Summary</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Shared Narrative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9</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Strategic Doing Session-in-a-Box</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10</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Partnership MOA &amp; Board-Alignment Pack</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11</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Pivot Protocol (Project Realignment Guide)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12</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Community Engagement SOW + Resident Council Kit</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13</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Capacity &amp; Resourcing Toolkit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14</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Friction-to-Innovation Diagnostic</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 / Shared Narrative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15</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Ecosystem Mapping &amp; Alignment Toolkit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4"/>
              <w:left w:val="single" w:color="2E7D6B" w:sz="24"/>
              <w:bottom w:val="single" w:color="2E7D6B" w:sz="4"/>
              <w:right w:val="single" w:color="2E7D6B" w:sz="4"/>
            </w:tcBorders>
            <w:shd w:fill="EDF4F2" w:val="clear"/>
            <w:tcMar>
              <w:top w:type="dxa" w:w="140"/>
              <w:left w:type="dxa" w:w="200"/>
              <w:bottom w:type="dxa" w:w="140"/>
              <w:right w:type="dxa" w:w="200"/>
            </w:tcMar>
          </w:tcPr>
          <w:p>
            <w:pPr>
              <w:spacing w:before="0" w:after="60"/>
            </w:pPr>
            <w:r>
              <w:rPr>
                <w:rFonts w:ascii="Arial" w:cs="Arial" w:eastAsia="Arial" w:hAnsi="Arial"/>
                <w:b/>
                <w:bCs/>
                <w:color w:val="2E7D6B"/>
                <w:sz w:val="20"/>
                <w:szCs w:val="20"/>
              </w:rPr>
              <w:t xml:space="preserve">Resources Bank Questions</w:t>
            </w:r>
          </w:p>
          <w:p>
            <w:pPr>
              <w:spacing w:before="0" w:after="60"/>
            </w:pPr>
            <w:r>
              <w:rPr>
                <w:rFonts w:ascii="Arial" w:cs="Arial" w:eastAsia="Arial" w:hAnsi="Arial"/>
                <w:b w:val="false"/>
                <w:bCs w:val="false"/>
                <w:color w:val="333333"/>
                <w:sz w:val="20"/>
                <w:szCs w:val="20"/>
              </w:rPr>
              <w:t xml:space="preserve">1.  Should the tools be available as downloadable files (PDF or formatted Word documents), displayed as web-only content, or both?</w:t>
            </w:r>
          </w:p>
          <w:p>
            <w:pPr>
              <w:spacing w:before="0" w:after="60"/>
            </w:pPr>
            <w:r>
              <w:rPr>
                <w:rFonts w:ascii="Arial" w:cs="Arial" w:eastAsia="Arial" w:hAnsi="Arial"/>
                <w:b w:val="false"/>
                <w:bCs w:val="false"/>
                <w:color w:val="333333"/>
                <w:sz w:val="20"/>
                <w:szCs w:val="20"/>
              </w:rPr>
              <w:t xml:space="preserve">2.  If tools are to be downloadable, who is responsible for preparing the 15 formatted files, and by what date? These will be needed before Phase 4 begins (March 30).</w:t>
            </w:r>
          </w:p>
          <w:p>
            <w:pPr>
              <w:spacing w:before="0" w:after="60"/>
            </w:pPr>
            <w:r>
              <w:rPr>
                <w:rFonts w:ascii="Arial" w:cs="Arial" w:eastAsia="Arial" w:hAnsi="Arial"/>
                <w:b w:val="false"/>
                <w:bCs w:val="false"/>
                <w:color w:val="333333"/>
                <w:sz w:val="20"/>
                <w:szCs w:val="20"/>
              </w:rPr>
              <w:t xml:space="preserve">3.  Should the Resources Bank be filterable or sortable — for example, by building block, tool type, or use case?</w:t>
            </w:r>
          </w:p>
          <w:p>
            <w:pPr>
              <w:spacing w:before="0" w:after="0"/>
            </w:pPr>
            <w:r>
              <w:rPr>
                <w:rFonts w:ascii="Arial" w:cs="Arial" w:eastAsia="Arial" w:hAnsi="Arial"/>
                <w:b w:val="false"/>
                <w:bCs w:val="false"/>
                <w:color w:val="333333"/>
                <w:sz w:val="20"/>
                <w:szCs w:val="20"/>
              </w:rPr>
              <w:t xml:space="preserve">4.  Are there additional tools or resources expected to be added to the site after launch?</w:t>
            </w:r>
          </w:p>
        </w:tc>
      </w:tr>
    </w:tbl>
    <w:p>
      <w:r>
        <w:br w:type="page"/>
      </w:r>
    </w:p>
    <w:p>
      <w:pPr>
        <w:pBdr>
          <w:bottom w:val="single" w:color="2E7D6B" w:sz="4" w:space="1"/>
        </w:pBdr>
        <w:spacing w:before="320" w:after="80"/>
      </w:pPr>
      <w:r>
        <w:rPr>
          <w:rFonts w:ascii="Arial" w:cs="Arial" w:eastAsia="Arial" w:hAnsi="Arial"/>
          <w:b/>
          <w:bCs/>
          <w:color w:val="2E7D6B"/>
          <w:spacing w:val="80"/>
          <w:sz w:val="18"/>
          <w:szCs w:val="18"/>
        </w:rPr>
        <w:t xml:space="preserve">SECTION 3</w:t>
      </w:r>
    </w:p>
    <w:p>
      <w:pPr>
        <w:spacing w:before="60" w:after="120"/>
      </w:pPr>
      <w:r>
        <w:rPr>
          <w:rFonts w:ascii="Arial" w:cs="Arial" w:eastAsia="Arial" w:hAnsi="Arial"/>
          <w:b/>
          <w:bCs/>
          <w:color w:val="1B3A6B"/>
          <w:sz w:val="36"/>
          <w:szCs w:val="36"/>
        </w:rPr>
        <w:t xml:space="preserve">Content Responsibility Matrix</w:t>
      </w:r>
    </w:p>
    <w:p>
      <w:pPr>
        <w:spacing w:before="0" w:after="100"/>
      </w:pPr>
      <w:r>
        <w:rPr>
          <w:rFonts w:ascii="Arial" w:cs="Arial" w:eastAsia="Arial" w:hAnsi="Arial"/>
          <w:color w:val="444444"/>
          <w:sz w:val="22"/>
          <w:szCs w:val="22"/>
        </w:rPr>
        <w:t xml:space="preserve">The following matrix outlines every project deliverable, who owns it, when it is due, and any critical notes. Items owned by NGIN are highlighted in amber — these are the client-side dependencies that directly affect our ability to meet the April 13 go-live.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4"/>
              <w:bottom w:val="single" w:color="1B3A6B" w:sz="4"/>
              <w:right w:val="single" w:color="1B3A6B" w:sz="4"/>
            </w:tcBorders>
            <w:shd w:fill="EDF4F2" w:val="clear"/>
            <w:tcMar>
              <w:top w:type="dxa" w:w="140"/>
              <w:left w:type="dxa" w:w="200"/>
              <w:bottom w:type="dxa" w:w="140"/>
              <w:right w:type="dxa" w:w="200"/>
            </w:tcMar>
          </w:tcPr>
          <w:p>
            <w:pPr>
              <w:spacing w:before="0" w:after="60"/>
            </w:pPr>
            <w:r>
              <w:rPr>
                <w:rFonts w:ascii="Arial" w:cs="Arial" w:eastAsia="Arial" w:hAnsi="Arial"/>
                <w:b/>
                <w:bCs/>
                <w:color w:val="1B3A6B"/>
                <w:sz w:val="20"/>
                <w:szCs w:val="20"/>
              </w:rPr>
              <w:t xml:space="preserve">Key Deadlines at a Glance</w:t>
            </w:r>
          </w:p>
          <w:p>
            <w:pPr>
              <w:spacing w:before="0" w:after="60"/>
            </w:pPr>
            <w:r>
              <w:rPr>
                <w:rFonts w:ascii="Arial" w:cs="Arial" w:eastAsia="Arial" w:hAnsi="Arial"/>
                <w:b w:val="false"/>
                <w:bCs w:val="false"/>
                <w:color w:val="333333"/>
                <w:sz w:val="20"/>
                <w:szCs w:val="20"/>
              </w:rPr>
              <w:t xml:space="preserve">Brand assets &amp; account access  →  February 28  (required before design begins)</w:t>
            </w:r>
          </w:p>
          <w:p>
            <w:pPr>
              <w:spacing w:before="0" w:after="60"/>
            </w:pPr>
            <w:r>
              <w:rPr>
                <w:rFonts w:ascii="Arial" w:cs="Arial" w:eastAsia="Arial" w:hAnsi="Arial"/>
                <w:b w:val="false"/>
                <w:bCs w:val="false"/>
                <w:color w:val="333333"/>
                <w:sz w:val="20"/>
                <w:szCs w:val="20"/>
              </w:rPr>
              <w:t xml:space="preserve">All finalized content, case studies &amp; tool files  →  March 28  (required before content integration begins)</w:t>
            </w:r>
          </w:p>
          <w:p>
            <w:pPr>
              <w:spacing w:before="0" w:after="60"/>
            </w:pPr>
            <w:r>
              <w:rPr>
                <w:rFonts w:ascii="Arial" w:cs="Arial" w:eastAsia="Arial" w:hAnsi="Arial"/>
                <w:b w:val="false"/>
                <w:bCs w:val="false"/>
                <w:color w:val="333333"/>
                <w:sz w:val="20"/>
                <w:szCs w:val="20"/>
              </w:rPr>
              <w:t xml:space="preserve">DNS access &amp; analytics setup  →  April 7  (required before go-live)</w:t>
            </w:r>
          </w:p>
          <w:p>
            <w:pPr>
              <w:spacing w:before="0" w:after="0"/>
            </w:pPr>
            <w:r>
              <w:rPr>
                <w:rFonts w:ascii="Arial" w:cs="Arial" w:eastAsia="Arial" w:hAnsi="Arial"/>
                <w:b w:val="false"/>
                <w:bCs w:val="false"/>
                <w:color w:val="333333"/>
                <w:sz w:val="20"/>
                <w:szCs w:val="20"/>
              </w:rPr>
              <w:t xml:space="preserve">Final launch approval  →  April 13</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100"/>
        <w:gridCol w:w="1000"/>
        <w:gridCol w:w="3060"/>
      </w:tblGrid>
      <w:tr>
        <w:tc>
          <w:tcPr>
            <w:tcW w:type="dxa" w:w="29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Deliverable</w:t>
            </w:r>
          </w:p>
        </w:tc>
        <w:tc>
          <w:tcPr>
            <w:tcW w:type="dxa" w:w="13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Owner</w:t>
            </w:r>
          </w:p>
        </w:tc>
        <w:tc>
          <w:tcPr>
            <w:tcW w:type="dxa" w:w="11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Phase</w:t>
            </w:r>
          </w:p>
        </w:tc>
        <w:tc>
          <w:tcPr>
            <w:tcW w:type="dxa" w:w="10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Due By</w:t>
            </w:r>
          </w:p>
        </w:tc>
        <w:tc>
          <w:tcPr>
            <w:tcW w:type="dxa" w:w="30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Notes</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Kickoff call recap &amp; action item summary</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Sent within 24 hours of kickoff call</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Squarespace environment setup</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Sitemap draft for client approval</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Must be approved before Phase 2 begins</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Project management workspace</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Brand guidelines, logos &amp; color palette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Required before design begins</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Photography &amp; imagery assets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Hero sections, case study pages</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Squarespace account access</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Pocketknife to be added as contributor</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Page layout designs (all page types)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Home, About, Framework, Resources, Case Study template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NGIN branding &amp; visual system applied</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Design feedback — Round 1</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13+48h</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48-hour turnaround from design delivery</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Design revisions</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Framework visuals (if add-on approved)</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Optional $3,500 add-on</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static pages built in Squarespace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Home, About, Framework &amp; Insights, Resources Bank, Cities Index</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Case study template built &amp; applied to all cases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One template, scaled to confirmed page count</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finalized written content — every page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Must be 100% final. Late content risks the April 13 go-live.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case study content (text + data per city)</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Confirmed page count required before Phase 3 begins</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15 tool files for Resources Bank</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Format TBD (PDF, Word, or web-only). Confirm at kickoff.</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Additional imagery or supporting visuals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Content upload &amp; formatting</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All client content must be delivered by Mar 28</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Accessibility &amp; searchability optimization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Content review — Round 2</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4+48h</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Final review before QA. 48-hour turnaround.</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Content revisions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Scope changes at this stage billed at $150/hr</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QA testing (all devices &amp; browsers)</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SEO setup (page titles, alt text, URL structure)</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DNS: playbook.newgrowth.org subdomain setup</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Allow 24–48 hrs for propagation. DNS change must happen by Apr 7.</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Google Analytics &amp; Search Console access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Admin access required before go-live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Final launch approval (written confirmation)</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Email confirmation required before go-live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Go-live &amp; subdomain integration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F0" w:val="clear"/>
            <w:tcMar>
              <w:top w:type="dxa" w:w="140"/>
              <w:left w:type="dxa" w:w="200"/>
              <w:bottom w:type="dxa" w:w="140"/>
              <w:right w:type="dxa" w:w="200"/>
            </w:tcMar>
          </w:tcPr>
          <w:p>
            <w:pPr>
              <w:spacing w:before="0" w:after="60"/>
            </w:pPr>
            <w:r>
              <w:rPr>
                <w:rFonts w:ascii="Arial" w:cs="Arial" w:eastAsia="Arial" w:hAnsi="Arial"/>
                <w:b/>
                <w:bCs/>
                <w:color w:val="D97706"/>
                <w:sz w:val="20"/>
                <w:szCs w:val="20"/>
              </w:rPr>
              <w:t xml:space="preserve">Important Note on Timelines</w:t>
            </w:r>
          </w:p>
          <w:p>
            <w:pPr>
              <w:spacing w:before="0" w:after="60"/>
            </w:pPr>
            <w:r>
              <w:rPr>
                <w:rFonts w:ascii="Arial" w:cs="Arial" w:eastAsia="Arial" w:hAnsi="Arial"/>
                <w:b w:val="false"/>
                <w:bCs w:val="false"/>
                <w:color w:val="333333"/>
                <w:sz w:val="20"/>
                <w:szCs w:val="20"/>
              </w:rPr>
              <w:t xml:space="preserve">This is a 7-week schedule with no buffer. Client feedback and approvals are expected within 48 hours of each delivery. If content or approvals are delayed by more than 14 days, a project restart fee equal to 25% of the remaining balance will apply per the terms of the agreement.</w:t>
            </w:r>
          </w:p>
          <w:p>
            <w:pPr>
              <w:spacing w:before="0" w:after="0"/>
            </w:pPr>
            <w:r>
              <w:rPr>
                <w:rFonts w:ascii="Arial" w:cs="Arial" w:eastAsia="Arial" w:hAnsi="Arial"/>
                <w:b w:val="false"/>
                <w:bCs w:val="false"/>
                <w:color w:val="333333"/>
                <w:sz w:val="20"/>
                <w:szCs w:val="20"/>
              </w:rPr>
              <w:t xml:space="preserve">Additional revisions beyond the three structured rounds included in the proposal are billed at $150 per hour.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ED9" w:sz="4" w:space="1"/>
      </w:pBdr>
      <w:tabs>
        <w:tab w:val="right" w:pos="9026"/>
      </w:tabs>
      <w:spacing w:before="80" w:after="0"/>
    </w:pPr>
    <w:r>
      <w:rPr>
        <w:rFonts w:ascii="Arial" w:cs="Arial" w:eastAsia="Arial" w:hAnsi="Arial"/>
        <w:color w:val="6B7280"/>
        <w:sz w:val="18"/>
        <w:szCs w:val="18"/>
      </w:rPr>
      <w:t xml:space="preserve">Pocketknife  ·  New Growth Innovation Network</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ED9" w:sz="4" w:space="1"/>
      </w:pBdr>
      <w:tabs>
        <w:tab w:val="right" w:pos="9026"/>
      </w:tabs>
      <w:spacing w:before="0" w:after="80"/>
    </w:pPr>
    <w:r>
      <w:rPr>
        <w:rFonts w:ascii="Arial" w:cs="Arial" w:eastAsia="Arial" w:hAnsi="Arial"/>
        <w:color w:val="6B7280"/>
        <w:sz w:val="18"/>
        <w:szCs w:val="18"/>
      </w:rPr>
      <w:t xml:space="preserve">NGIN Alliance Playbook  ·  Kickoff Meeting</w:t>
    </w:r>
    <w:r>
      <w:rPr>
        <w:rFonts w:ascii="Arial" w:cs="Arial" w:eastAsia="Arial" w:hAnsi="Arial"/>
        <w:color w:val="6B7280"/>
        <w:sz w:val="18"/>
        <w:szCs w:val="18"/>
      </w:rPr>
      <w:t xml:space="preserve">	February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2026-02-23T17:43:50.069Z</dcterms:created>
  <dcterms:modified xsi:type="dcterms:W3CDTF">2026-02-23T17:43:50.070Z</dcterms:modified>
</cp:coreProperties>
</file>

<file path=docProps/custom.xml><?xml version="1.0" encoding="utf-8"?>
<Properties xmlns="http://schemas.openxmlformats.org/officeDocument/2006/custom-properties" xmlns:vt="http://schemas.openxmlformats.org/officeDocument/2006/docPropsVTypes"/>
</file>