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80"/>
      </w:pPr>
      <w:r>
        <w:rPr>
          <w:rFonts w:ascii="Arial" w:cs="Arial" w:eastAsia="Arial" w:hAnsi="Arial"/>
          <w:b/>
          <w:bCs/>
          <w:color w:val="1B3A6B"/>
          <w:sz w:val="48"/>
          <w:szCs w:val="48"/>
        </w:rPr>
        <w:t xml:space="preserve">NGIN Alliance Playbook</w:t>
      </w:r>
    </w:p>
    <w:p>
      <w:pPr>
        <w:spacing w:before="0" w:after="60"/>
      </w:pPr>
      <w:r>
        <w:rPr>
          <w:rFonts w:ascii="Arial" w:cs="Arial" w:eastAsia="Arial" w:hAnsi="Arial"/>
          <w:color w:val="2E7D6B"/>
          <w:sz w:val="28"/>
          <w:szCs w:val="28"/>
        </w:rPr>
        <w:t xml:space="preserve">Project Kickoff Meeting</w:t>
      </w:r>
    </w:p>
    <w:p>
      <w:pPr>
        <w:spacing w:before="0" w:after="60"/>
      </w:pPr>
      <w:r>
        <w:rPr>
          <w:rFonts w:ascii="Arial" w:cs="Arial" w:eastAsia="Arial" w:hAnsi="Arial"/>
          <w:color w:val="6B7280"/>
          <w:sz w:val="22"/>
          <w:szCs w:val="22"/>
        </w:rPr>
        <w:t xml:space="preserve">February 23, 2026  ·  1:00 PM</w:t>
      </w:r>
    </w:p>
    <w:p>
      <w:pPr>
        <w:spacing w:before="0" w:after="0"/>
      </w:pPr>
      <w:r>
        <w:rPr>
          <w:rFonts w:ascii="Arial" w:cs="Arial" w:eastAsia="Arial" w:hAnsi="Arial"/>
          <w:color w:val="6B7280"/>
          <w:sz w:val="22"/>
          <w:szCs w:val="22"/>
        </w:rPr>
        <w:t xml:space="preserve">Pocketknife  ·  jared@pocketknife.design</w:t>
      </w:r>
    </w:p>
    <w:p>
      <w:pPr>
        <w:pBdr>
          <w:bottom w:val="single" w:color="C9DED9" w:sz="6" w:space="1"/>
        </w:pBdr>
        <w:spacing w:before="180" w:after="180"/>
      </w:pPr>
      <w:r>
        <w:t xml:space="preserve"/>
      </w:r>
    </w:p>
    <w:p>
      <w:pPr>
        <w:pBdr>
          <w:bottom w:val="single" w:color="2E7D6B" w:sz="4" w:space="1"/>
        </w:pBdr>
        <w:spacing w:before="320" w:after="80"/>
      </w:pPr>
      <w:r>
        <w:rPr>
          <w:rFonts w:ascii="Arial" w:cs="Arial" w:eastAsia="Arial" w:hAnsi="Arial"/>
          <w:b/>
          <w:bCs/>
          <w:color w:val="2E7D6B"/>
          <w:spacing w:val="80"/>
          <w:sz w:val="18"/>
          <w:szCs w:val="18"/>
        </w:rPr>
        <w:t xml:space="preserve">SECTION 1</w:t>
      </w:r>
    </w:p>
    <w:p>
      <w:pPr>
        <w:spacing w:before="60" w:after="120"/>
      </w:pPr>
      <w:r>
        <w:rPr>
          <w:rFonts w:ascii="Arial" w:cs="Arial" w:eastAsia="Arial" w:hAnsi="Arial"/>
          <w:b/>
          <w:bCs/>
          <w:color w:val="1B3A6B"/>
          <w:sz w:val="36"/>
          <w:szCs w:val="36"/>
        </w:rPr>
        <w:t xml:space="preserve">Meeting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Topic</w:t>
            </w:r>
          </w:p>
        </w:tc>
        <w:tc>
          <w:tcPr>
            <w:tcW w:type="dxa" w:w="67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Description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Platform &amp; Technical Setup</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Confirm the microsite build on playbook.newgrowth.org (Squarespace 7.1). Review DNS requirements for subdomain setup, Squarespace account ownership, and Google Analytics / Search Console access.</w:t>
            </w:r>
          </w:p>
        </w:tc>
      </w:tr>
      <w:tr>
        <w:tc>
          <w:tcPr>
            <w:tcW w:type="dxa" w:w="2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Project Timeline &amp; Milestone Review</w:t>
            </w:r>
          </w:p>
        </w:tc>
        <w:tc>
          <w:tcPr>
            <w:tcW w:type="dxa" w:w="67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Walk through the updated 7-week schedule (Feb 23 – Apr 13). Review each phase, key deliverables, and the milestone-based payment schedule. Confirm payment terms and phase-start dependencies.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Content Review: Case Studies, Tools &amp; Site Structure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Review the full content inventory — 9 case study narratives and 15 tools. Confirm case study page count and whether additional content is forthcoming. Determine format for the Resources Bank (downloadable files, web content, or both). Align on the content responsibility plan and key deadlines.</w:t>
            </w:r>
          </w:p>
        </w:tc>
      </w:tr>
      <w:tr>
        <w:tc>
          <w:tcPr>
            <w:tcW w:type="dxa" w:w="2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Assets, Access &amp; Communication</w:t>
            </w:r>
          </w:p>
        </w:tc>
        <w:tc>
          <w:tcPr>
            <w:tcW w:type="dxa" w:w="67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Confirm delivery of brand guidelines, logo files, and photography. Establish communication norms: preferred tools, response times, and feedback format. Identify primary point of contact and approval authority on the NGIN side.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Framework Visuals (Optional Add-On)</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Brief discussion of the optional custom infographics package ($3,500) for the Framework &amp; Insights page. Not required to decide today — follow-up in writing if needed.</w:t>
            </w:r>
          </w:p>
        </w:tc>
      </w:tr>
      <w:tr>
        <w:tc>
          <w:tcPr>
            <w:tcW w:type="dxa" w:w="2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Next Steps &amp; Action Items</w:t>
            </w:r>
          </w:p>
        </w:tc>
        <w:tc>
          <w:tcPr>
            <w:tcW w:type="dxa" w:w="67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Confirm Phase 1 deliverables and owners. Agree on first check-in date. Recap any open items.</w:t>
            </w:r>
          </w:p>
        </w:tc>
      </w:tr>
    </w:tbl>
    <w:p>
      <w:r>
        <w:br w:type="page"/>
      </w:r>
    </w:p>
    <w:p>
      <w:pPr>
        <w:pBdr>
          <w:bottom w:val="single" w:color="2E7D6B" w:sz="4" w:space="1"/>
        </w:pBdr>
        <w:spacing w:before="320" w:after="80"/>
      </w:pPr>
      <w:r>
        <w:rPr>
          <w:rFonts w:ascii="Arial" w:cs="Arial" w:eastAsia="Arial" w:hAnsi="Arial"/>
          <w:b/>
          <w:bCs/>
          <w:color w:val="2E7D6B"/>
          <w:spacing w:val="80"/>
          <w:sz w:val="18"/>
          <w:szCs w:val="18"/>
        </w:rPr>
        <w:t xml:space="preserve">SECTION 2</w:t>
      </w:r>
    </w:p>
    <w:p>
      <w:pPr>
        <w:spacing w:before="60" w:after="120"/>
      </w:pPr>
      <w:r>
        <w:rPr>
          <w:rFonts w:ascii="Arial" w:cs="Arial" w:eastAsia="Arial" w:hAnsi="Arial"/>
          <w:b/>
          <w:bCs/>
          <w:color w:val="1B3A6B"/>
          <w:sz w:val="36"/>
          <w:szCs w:val="36"/>
        </w:rPr>
        <w:t xml:space="preserve">Project Timeline &amp; Milestones</w:t>
      </w:r>
    </w:p>
    <w:p>
      <w:pPr>
        <w:spacing w:before="0" w:after="100"/>
      </w:pPr>
      <w:r>
        <w:rPr>
          <w:rFonts w:ascii="Arial" w:cs="Arial" w:eastAsia="Arial" w:hAnsi="Arial"/>
          <w:color w:val="444444"/>
          <w:sz w:val="22"/>
          <w:szCs w:val="22"/>
        </w:rPr>
        <w:t xml:space="preserve">The project runs 7 weeks from today’s kickoff through the week of April 13. Each phase must be completed and invoiced before the next phase begins, in accordance with 2 CFR §200.305.</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60"/>
        <w:gridCol w:w="1900"/>
      </w:tblGrid>
      <w:tr>
        <w:tc>
          <w:tcPr>
            <w:tcW w:type="dxa" w:w="28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Phase &amp; Dates</w:t>
            </w:r>
          </w:p>
        </w:tc>
        <w:tc>
          <w:tcPr>
            <w:tcW w:type="dxa" w:w="46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Key Deliverables</w:t>
            </w:r>
          </w:p>
        </w:tc>
        <w:tc>
          <w:tcPr>
            <w:tcW w:type="dxa" w:w="19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Payment</w:t>
            </w:r>
          </w:p>
        </w:tc>
      </w:tr>
      <w:tr>
        <w:tc>
          <w:tcPr>
            <w:tcW w:type="dxa" w:w="280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60"/>
            </w:pPr>
            <w:r>
              <w:rPr>
                <w:rFonts w:ascii="Arial" w:cs="Arial" w:eastAsia="Arial" w:hAnsi="Arial"/>
                <w:b/>
                <w:bCs/>
                <w:color w:val="1B3A6B"/>
                <w:sz w:val="20"/>
                <w:szCs w:val="20"/>
              </w:rPr>
              <w:t xml:space="preserve">Phase 1 — Project Initiation &amp; Setup</w:t>
            </w:r>
          </w:p>
          <w:p>
            <w:pPr>
              <w:spacing w:before="0" w:after="30"/>
            </w:pPr>
            <w:r>
              <w:rPr>
                <w:rFonts w:ascii="Arial" w:cs="Arial" w:eastAsia="Arial" w:hAnsi="Arial"/>
                <w:b/>
                <w:bCs/>
                <w:color w:val="6B7280"/>
                <w:sz w:val="19"/>
                <w:szCs w:val="19"/>
              </w:rPr>
              <w:t xml:space="preserve">Feb 23 – Feb 28</w:t>
            </w:r>
          </w:p>
          <w:p>
            <w:pPr>
              <w:spacing w:before="0" w:after="0"/>
            </w:pPr>
            <w:r>
              <w:rPr>
                <w:rFonts w:ascii="Arial" w:cs="Arial" w:eastAsia="Arial" w:hAnsi="Arial"/>
                <w:color w:val="6B7280"/>
                <w:sz w:val="18"/>
                <w:szCs w:val="18"/>
              </w:rPr>
              <w:t xml:space="preserve">Week 1</w:t>
            </w:r>
          </w:p>
        </w:tc>
        <w:tc>
          <w:tcPr>
            <w:tcW w:type="dxa" w:w="466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40"/>
            </w:pPr>
            <w:r>
              <w:rPr>
                <w:rFonts w:ascii="Arial" w:cs="Arial" w:eastAsia="Arial" w:hAnsi="Arial"/>
                <w:color w:val="333333"/>
                <w:sz w:val="19"/>
                <w:szCs w:val="19"/>
              </w:rPr>
              <w:t xml:space="preserve">•  Kickoff meeting &amp; project alignment</w:t>
            </w:r>
          </w:p>
          <w:p>
            <w:pPr>
              <w:spacing w:before="0" w:after="40"/>
            </w:pPr>
            <w:r>
              <w:rPr>
                <w:rFonts w:ascii="Arial" w:cs="Arial" w:eastAsia="Arial" w:hAnsi="Arial"/>
                <w:color w:val="333333"/>
                <w:sz w:val="19"/>
                <w:szCs w:val="19"/>
              </w:rPr>
              <w:t xml:space="preserve">•  Review all content assets</w:t>
            </w:r>
          </w:p>
          <w:p>
            <w:pPr>
              <w:spacing w:before="0" w:after="40"/>
            </w:pPr>
            <w:r>
              <w:rPr>
                <w:rFonts w:ascii="Arial" w:cs="Arial" w:eastAsia="Arial" w:hAnsi="Arial"/>
                <w:color w:val="333333"/>
                <w:sz w:val="19"/>
                <w:szCs w:val="19"/>
              </w:rPr>
              <w:t xml:space="preserve">•  Squarespace environment &amp; file structure setup</w:t>
            </w:r>
          </w:p>
          <w:p>
            <w:pPr>
              <w:spacing w:before="0" w:after="40"/>
            </w:pPr>
            <w:r>
              <w:rPr>
                <w:rFonts w:ascii="Arial" w:cs="Arial" w:eastAsia="Arial" w:hAnsi="Arial"/>
                <w:color w:val="333333"/>
                <w:sz w:val="19"/>
                <w:szCs w:val="19"/>
              </w:rPr>
              <w:t xml:space="preserve">•  Sitemap draft &amp; content responsibility plan</w:t>
            </w:r>
          </w:p>
          <w:p>
            <w:pPr>
              <w:spacing w:before="0" w:after="40"/>
            </w:pPr>
            <w:r>
              <w:rPr>
                <w:rFonts w:ascii="Arial" w:cs="Arial" w:eastAsia="Arial" w:hAnsi="Arial"/>
                <w:color w:val="333333"/>
                <w:sz w:val="19"/>
                <w:szCs w:val="19"/>
              </w:rPr>
              <w:t xml:space="preserve">•  Project management workspace &amp; finalized timeline</w:t>
            </w:r>
          </w:p>
        </w:tc>
        <w:tc>
          <w:tcPr>
            <w:tcW w:type="dxa" w:w="190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0"/>
            </w:pPr>
            <w:r>
              <w:rPr>
                <w:rFonts w:ascii="Arial" w:cs="Arial" w:eastAsia="Arial" w:hAnsi="Arial"/>
                <w:b/>
                <w:bCs/>
                <w:color w:val="2E7D6B"/>
                <w:sz w:val="20"/>
                <w:szCs w:val="20"/>
              </w:rPr>
              <w:t xml:space="preserve">$4,000 (25%)</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before="0" w:after="60"/>
            </w:pPr>
            <w:r>
              <w:rPr>
                <w:rFonts w:ascii="Arial" w:cs="Arial" w:eastAsia="Arial" w:hAnsi="Arial"/>
                <w:b/>
                <w:bCs/>
                <w:color w:val="2E7D6B"/>
                <w:sz w:val="20"/>
                <w:szCs w:val="20"/>
              </w:rPr>
              <w:t xml:space="preserve">Phase 2 — Design &amp; Prototyping</w:t>
            </w:r>
          </w:p>
          <w:p>
            <w:pPr>
              <w:spacing w:before="0" w:after="30"/>
            </w:pPr>
            <w:r>
              <w:rPr>
                <w:rFonts w:ascii="Arial" w:cs="Arial" w:eastAsia="Arial" w:hAnsi="Arial"/>
                <w:b/>
                <w:bCs/>
                <w:color w:val="6B7280"/>
                <w:sz w:val="19"/>
                <w:szCs w:val="19"/>
              </w:rPr>
              <w:t xml:space="preserve">Mar 2 – Mar 13</w:t>
            </w:r>
          </w:p>
          <w:p>
            <w:pPr>
              <w:spacing w:before="0" w:after="0"/>
            </w:pPr>
            <w:r>
              <w:rPr>
                <w:rFonts w:ascii="Arial" w:cs="Arial" w:eastAsia="Arial" w:hAnsi="Arial"/>
                <w:color w:val="6B7280"/>
                <w:sz w:val="18"/>
                <w:szCs w:val="18"/>
              </w:rPr>
              <w:t xml:space="preserve">Weeks 2–3</w:t>
            </w:r>
          </w:p>
        </w:tc>
        <w:tc>
          <w:tcPr>
            <w:tcW w:type="dxa" w:w="4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before="0" w:after="40"/>
            </w:pPr>
            <w:r>
              <w:rPr>
                <w:rFonts w:ascii="Arial" w:cs="Arial" w:eastAsia="Arial" w:hAnsi="Arial"/>
                <w:color w:val="333333"/>
                <w:sz w:val="19"/>
                <w:szCs w:val="19"/>
              </w:rPr>
              <w:t xml:space="preserve">•  Layout development in Squarespace 7.1</w:t>
            </w:r>
          </w:p>
          <w:p>
            <w:pPr>
              <w:spacing w:before="0" w:after="40"/>
            </w:pPr>
            <w:r>
              <w:rPr>
                <w:rFonts w:ascii="Arial" w:cs="Arial" w:eastAsia="Arial" w:hAnsi="Arial"/>
                <w:color w:val="333333"/>
                <w:sz w:val="19"/>
                <w:szCs w:val="19"/>
              </w:rPr>
              <w:t xml:space="preserve">•  NGIN branding &amp; Playbook visual system applied</w:t>
            </w:r>
          </w:p>
          <w:p>
            <w:pPr>
              <w:spacing w:before="0" w:after="40"/>
            </w:pPr>
            <w:r>
              <w:rPr>
                <w:rFonts w:ascii="Arial" w:cs="Arial" w:eastAsia="Arial" w:hAnsi="Arial"/>
                <w:color w:val="333333"/>
                <w:sz w:val="19"/>
                <w:szCs w:val="19"/>
              </w:rPr>
              <w:t xml:space="preserve">•  Placeholder content built for review</w:t>
            </w:r>
          </w:p>
          <w:p>
            <w:pPr>
              <w:spacing w:before="0" w:after="40"/>
            </w:pPr>
            <w:r>
              <w:rPr>
                <w:rFonts w:ascii="Arial" w:cs="Arial" w:eastAsia="Arial" w:hAnsi="Arial"/>
                <w:color w:val="333333"/>
                <w:sz w:val="19"/>
                <w:szCs w:val="19"/>
              </w:rPr>
              <w:t xml:space="preserve">•  First round of design feedback &amp; revisions</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before="0" w:after="0"/>
            </w:pPr>
            <w:r>
              <w:rPr>
                <w:rFonts w:ascii="Arial" w:cs="Arial" w:eastAsia="Arial" w:hAnsi="Arial"/>
                <w:b/>
                <w:bCs/>
                <w:color w:val="2E7D6B"/>
                <w:sz w:val="20"/>
                <w:szCs w:val="20"/>
              </w:rPr>
              <w:t xml:space="preserve">$4,000 (25%)</w:t>
            </w:r>
          </w:p>
        </w:tc>
      </w:tr>
      <w:tr>
        <w:tc>
          <w:tcPr>
            <w:tcW w:type="dxa" w:w="280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60"/>
            </w:pPr>
            <w:r>
              <w:rPr>
                <w:rFonts w:ascii="Arial" w:cs="Arial" w:eastAsia="Arial" w:hAnsi="Arial"/>
                <w:b/>
                <w:bCs/>
                <w:color w:val="1B3A6B"/>
                <w:sz w:val="20"/>
                <w:szCs w:val="20"/>
              </w:rPr>
              <w:t xml:space="preserve">Phase 3 — Development &amp; Build</w:t>
            </w:r>
          </w:p>
          <w:p>
            <w:pPr>
              <w:spacing w:before="0" w:after="30"/>
            </w:pPr>
            <w:r>
              <w:rPr>
                <w:rFonts w:ascii="Arial" w:cs="Arial" w:eastAsia="Arial" w:hAnsi="Arial"/>
                <w:b/>
                <w:bCs/>
                <w:color w:val="6B7280"/>
                <w:sz w:val="19"/>
                <w:szCs w:val="19"/>
              </w:rPr>
              <w:t xml:space="preserve">Mar 16 – Mar 28</w:t>
            </w:r>
          </w:p>
          <w:p>
            <w:pPr>
              <w:spacing w:before="0" w:after="0"/>
            </w:pPr>
            <w:r>
              <w:rPr>
                <w:rFonts w:ascii="Arial" w:cs="Arial" w:eastAsia="Arial" w:hAnsi="Arial"/>
                <w:color w:val="6B7280"/>
                <w:sz w:val="18"/>
                <w:szCs w:val="18"/>
              </w:rPr>
              <w:t xml:space="preserve">Weeks 4–5</w:t>
            </w:r>
          </w:p>
        </w:tc>
        <w:tc>
          <w:tcPr>
            <w:tcW w:type="dxa" w:w="466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40"/>
            </w:pPr>
            <w:r>
              <w:rPr>
                <w:rFonts w:ascii="Arial" w:cs="Arial" w:eastAsia="Arial" w:hAnsi="Arial"/>
                <w:color w:val="333333"/>
                <w:sz w:val="19"/>
                <w:szCs w:val="19"/>
              </w:rPr>
              <w:t xml:space="preserve">•  Core templates &amp; static pages built</w:t>
            </w:r>
          </w:p>
          <w:p>
            <w:pPr>
              <w:spacing w:before="0" w:after="40"/>
            </w:pPr>
            <w:r>
              <w:rPr>
                <w:rFonts w:ascii="Arial" w:cs="Arial" w:eastAsia="Arial" w:hAnsi="Arial"/>
                <w:color w:val="333333"/>
                <w:sz w:val="19"/>
                <w:szCs w:val="19"/>
              </w:rPr>
              <w:t xml:space="preserve">•  Case Study Library, Resources Bank, Cities Index configured</w:t>
            </w:r>
          </w:p>
          <w:p>
            <w:pPr>
              <w:spacing w:before="0" w:after="40"/>
            </w:pPr>
            <w:r>
              <w:rPr>
                <w:rFonts w:ascii="Arial" w:cs="Arial" w:eastAsia="Arial" w:hAnsi="Arial"/>
                <w:color w:val="333333"/>
                <w:sz w:val="19"/>
                <w:szCs w:val="19"/>
              </w:rPr>
              <w:t xml:space="preserve">•  Scalable templates for all case studies created</w:t>
            </w:r>
          </w:p>
          <w:p>
            <w:pPr>
              <w:spacing w:before="0" w:after="40"/>
            </w:pPr>
            <w:r>
              <w:rPr>
                <w:rFonts w:ascii="Arial" w:cs="Arial" w:eastAsia="Arial" w:hAnsi="Arial"/>
                <w:color w:val="333333"/>
                <w:sz w:val="19"/>
                <w:szCs w:val="19"/>
              </w:rPr>
              <w:t xml:space="preserve">•  Content upload begins</w:t>
            </w:r>
          </w:p>
        </w:tc>
        <w:tc>
          <w:tcPr>
            <w:tcW w:type="dxa" w:w="190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0"/>
            </w:pPr>
            <w:r>
              <w:rPr>
                <w:rFonts w:ascii="Arial" w:cs="Arial" w:eastAsia="Arial" w:hAnsi="Arial"/>
                <w:b/>
                <w:bCs/>
                <w:color w:val="2E7D6B"/>
                <w:sz w:val="20"/>
                <w:szCs w:val="20"/>
              </w:rPr>
              <w:t xml:space="preserve">$4,000 (25%)</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before="0" w:after="60"/>
            </w:pPr>
            <w:r>
              <w:rPr>
                <w:rFonts w:ascii="Arial" w:cs="Arial" w:eastAsia="Arial" w:hAnsi="Arial"/>
                <w:b/>
                <w:bCs/>
                <w:color w:val="2E7D6B"/>
                <w:sz w:val="20"/>
                <w:szCs w:val="20"/>
              </w:rPr>
              <w:t xml:space="preserve">Phase 4 — Content Integration &amp; Revisions</w:t>
            </w:r>
          </w:p>
          <w:p>
            <w:pPr>
              <w:spacing w:before="0" w:after="30"/>
            </w:pPr>
            <w:r>
              <w:rPr>
                <w:rFonts w:ascii="Arial" w:cs="Arial" w:eastAsia="Arial" w:hAnsi="Arial"/>
                <w:b/>
                <w:bCs/>
                <w:color w:val="6B7280"/>
                <w:sz w:val="19"/>
                <w:szCs w:val="19"/>
              </w:rPr>
              <w:t xml:space="preserve">Mar 30 – Apr 4</w:t>
            </w:r>
          </w:p>
          <w:p>
            <w:pPr>
              <w:spacing w:before="0" w:after="0"/>
            </w:pPr>
            <w:r>
              <w:rPr>
                <w:rFonts w:ascii="Arial" w:cs="Arial" w:eastAsia="Arial" w:hAnsi="Arial"/>
                <w:color w:val="6B7280"/>
                <w:sz w:val="18"/>
                <w:szCs w:val="18"/>
              </w:rPr>
              <w:t xml:space="preserve">Week 6</w:t>
            </w:r>
          </w:p>
        </w:tc>
        <w:tc>
          <w:tcPr>
            <w:tcW w:type="dxa" w:w="4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before="0" w:after="40"/>
            </w:pPr>
            <w:r>
              <w:rPr>
                <w:rFonts w:ascii="Arial" w:cs="Arial" w:eastAsia="Arial" w:hAnsi="Arial"/>
                <w:color w:val="333333"/>
                <w:sz w:val="19"/>
                <w:szCs w:val="19"/>
              </w:rPr>
              <w:t xml:space="preserve">•  Upload &amp; formatting of all finalized content</w:t>
            </w:r>
          </w:p>
          <w:p>
            <w:pPr>
              <w:spacing w:before="0" w:after="40"/>
            </w:pPr>
            <w:r>
              <w:rPr>
                <w:rFonts w:ascii="Arial" w:cs="Arial" w:eastAsia="Arial" w:hAnsi="Arial"/>
                <w:color w:val="333333"/>
                <w:sz w:val="19"/>
                <w:szCs w:val="19"/>
              </w:rPr>
              <w:t xml:space="preserve">•  Optimization for clarity, accessibility &amp; searchability</w:t>
            </w:r>
          </w:p>
          <w:p>
            <w:pPr>
              <w:spacing w:before="0" w:after="40"/>
            </w:pPr>
            <w:r>
              <w:rPr>
                <w:rFonts w:ascii="Arial" w:cs="Arial" w:eastAsia="Arial" w:hAnsi="Arial"/>
                <w:color w:val="333333"/>
                <w:sz w:val="19"/>
                <w:szCs w:val="19"/>
              </w:rPr>
              <w:t xml:space="preserve">•  Structured revision rounds completed</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before="0" w:after="0"/>
            </w:pPr>
            <w:r>
              <w:rPr>
                <w:rFonts w:ascii="Arial" w:cs="Arial" w:eastAsia="Arial" w:hAnsi="Arial"/>
                <w:b/>
                <w:bCs/>
                <w:color w:val="2E7D6B"/>
                <w:sz w:val="20"/>
                <w:szCs w:val="20"/>
              </w:rPr>
              <w:t xml:space="preserve">$2,000 (12.5%)</w:t>
            </w:r>
          </w:p>
        </w:tc>
      </w:tr>
      <w:tr>
        <w:tc>
          <w:tcPr>
            <w:tcW w:type="dxa" w:w="280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60"/>
            </w:pPr>
            <w:r>
              <w:rPr>
                <w:rFonts w:ascii="Arial" w:cs="Arial" w:eastAsia="Arial" w:hAnsi="Arial"/>
                <w:b/>
                <w:bCs/>
                <w:color w:val="D97706"/>
                <w:sz w:val="20"/>
                <w:szCs w:val="20"/>
              </w:rPr>
              <w:t xml:space="preserve">Phase 5 — Testing &amp; Launch</w:t>
            </w:r>
          </w:p>
          <w:p>
            <w:pPr>
              <w:spacing w:before="0" w:after="30"/>
            </w:pPr>
            <w:r>
              <w:rPr>
                <w:rFonts w:ascii="Arial" w:cs="Arial" w:eastAsia="Arial" w:hAnsi="Arial"/>
                <w:b/>
                <w:bCs/>
                <w:color w:val="6B7280"/>
                <w:sz w:val="19"/>
                <w:szCs w:val="19"/>
              </w:rPr>
              <w:t xml:space="preserve">Apr 7 – Apr 13</w:t>
            </w:r>
          </w:p>
          <w:p>
            <w:pPr>
              <w:spacing w:before="0" w:after="0"/>
            </w:pPr>
            <w:r>
              <w:rPr>
                <w:rFonts w:ascii="Arial" w:cs="Arial" w:eastAsia="Arial" w:hAnsi="Arial"/>
                <w:color w:val="6B7280"/>
                <w:sz w:val="18"/>
                <w:szCs w:val="18"/>
              </w:rPr>
              <w:t xml:space="preserve">Week 7</w:t>
            </w:r>
          </w:p>
        </w:tc>
        <w:tc>
          <w:tcPr>
            <w:tcW w:type="dxa" w:w="466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40"/>
            </w:pPr>
            <w:r>
              <w:rPr>
                <w:rFonts w:ascii="Arial" w:cs="Arial" w:eastAsia="Arial" w:hAnsi="Arial"/>
                <w:color w:val="333333"/>
                <w:sz w:val="19"/>
                <w:szCs w:val="19"/>
              </w:rPr>
              <w:t xml:space="preserve">•  QA testing across devices &amp; browsers</w:t>
            </w:r>
          </w:p>
          <w:p>
            <w:pPr>
              <w:spacing w:before="0" w:after="40"/>
            </w:pPr>
            <w:r>
              <w:rPr>
                <w:rFonts w:ascii="Arial" w:cs="Arial" w:eastAsia="Arial" w:hAnsi="Arial"/>
                <w:color w:val="333333"/>
                <w:sz w:val="19"/>
                <w:szCs w:val="19"/>
              </w:rPr>
              <w:t xml:space="preserve">•  SEO setup (titles, alt text, URL structure)</w:t>
            </w:r>
          </w:p>
          <w:p>
            <w:pPr>
              <w:spacing w:before="0" w:after="40"/>
            </w:pPr>
            <w:r>
              <w:rPr>
                <w:rFonts w:ascii="Arial" w:cs="Arial" w:eastAsia="Arial" w:hAnsi="Arial"/>
                <w:color w:val="333333"/>
                <w:sz w:val="19"/>
                <w:szCs w:val="19"/>
              </w:rPr>
              <w:t xml:space="preserve">•  Subdomain integration &amp; go-live</w:t>
            </w:r>
          </w:p>
          <w:p>
            <w:pPr>
              <w:spacing w:before="0" w:after="40"/>
            </w:pPr>
            <w:r>
              <w:rPr>
                <w:rFonts w:ascii="Arial" w:cs="Arial" w:eastAsia="Arial" w:hAnsi="Arial"/>
                <w:color w:val="333333"/>
                <w:sz w:val="19"/>
                <w:szCs w:val="19"/>
              </w:rPr>
              <w:t xml:space="preserve">•  Two-week post-launch support window</w:t>
            </w:r>
          </w:p>
        </w:tc>
        <w:tc>
          <w:tcPr>
            <w:tcW w:type="dxa" w:w="1900"/>
            <w:tcBorders>
              <w:top w:val="single" w:color="DDDDDD" w:sz="4"/>
              <w:left w:val="single" w:color="DDDDDD" w:sz="4"/>
              <w:bottom w:val="single" w:color="DDDDDD" w:sz="4"/>
              <w:right w:val="single" w:color="DDDDDD" w:sz="4"/>
            </w:tcBorders>
            <w:shd w:fill="F3F6F5" w:val="clear"/>
            <w:tcMar>
              <w:top w:type="dxa" w:w="100"/>
              <w:left w:type="dxa" w:w="140"/>
              <w:bottom w:type="dxa" w:w="100"/>
              <w:right w:type="dxa" w:w="140"/>
            </w:tcMar>
            <w:vAlign w:val="top"/>
          </w:tcPr>
          <w:p>
            <w:pPr>
              <w:spacing w:before="0" w:after="0"/>
            </w:pPr>
            <w:r>
              <w:rPr>
                <w:rFonts w:ascii="Arial" w:cs="Arial" w:eastAsia="Arial" w:hAnsi="Arial"/>
                <w:b/>
                <w:bCs/>
                <w:color w:val="2E7D6B"/>
                <w:sz w:val="20"/>
                <w:szCs w:val="20"/>
              </w:rPr>
              <w:t xml:space="preserve">$2,000 (12.5%)</w:t>
            </w:r>
          </w:p>
        </w:tc>
      </w:tr>
      <w:tr>
        <w:tc>
          <w:tcPr>
            <w:tcW w:type="dxa" w:w="2800"/>
            <w:tcBorders>
              <w:top w:val="single" w:color="1B3A6B" w:sz="4"/>
              <w:left w:val="single" w:color="1B3A6B" w:sz="4"/>
              <w:bottom w:val="single" w:color="1B3A6B" w:sz="4"/>
              <w:right w:val="single" w:color="1B3A6B" w:sz="4"/>
            </w:tcBorders>
            <w:shd w:fill="EDF4F2" w:val="clear"/>
            <w:tcMar>
              <w:top w:type="dxa" w:w="100"/>
              <w:left w:type="dxa" w:w="140"/>
              <w:bottom w:type="dxa" w:w="100"/>
              <w:right w:type="dxa" w:w="140"/>
            </w:tcMar>
          </w:tcPr>
          <w:p>
            <w:pPr>
              <w:spacing w:before="0" w:after="0"/>
            </w:pPr>
            <w:r>
              <w:rPr>
                <w:rFonts w:ascii="Arial" w:cs="Arial" w:eastAsia="Arial" w:hAnsi="Arial"/>
                <w:b/>
                <w:bCs/>
                <w:color w:val="1B3A6B"/>
                <w:sz w:val="22"/>
                <w:szCs w:val="22"/>
              </w:rPr>
              <w:t xml:space="preserve">PROJECT TOTAL</w:t>
            </w:r>
          </w:p>
        </w:tc>
        <w:tc>
          <w:tcPr>
            <w:tcW w:type="dxa" w:w="4660"/>
            <w:tcBorders>
              <w:top w:val="single" w:color="1B3A6B" w:sz="4"/>
              <w:left w:val="single" w:color="1B3A6B" w:sz="4"/>
              <w:bottom w:val="single" w:color="1B3A6B" w:sz="4"/>
              <w:right w:val="single" w:color="1B3A6B" w:sz="4"/>
            </w:tcBorders>
            <w:shd w:fill="EDF4F2" w:val="clear"/>
            <w:tcMar>
              <w:top w:type="dxa" w:w="100"/>
              <w:left w:type="dxa" w:w="140"/>
              <w:bottom w:type="dxa" w:w="100"/>
              <w:right w:type="dxa" w:w="140"/>
            </w:tcMar>
          </w:tcPr>
          <w:p>
            <w:pPr>
              <w:spacing w:before="0" w:after="0"/>
            </w:pPr>
            <w:r>
              <w:rPr>
                <w:rFonts w:ascii="Arial" w:cs="Arial" w:eastAsia="Arial" w:hAnsi="Arial"/>
                <w:color w:val="1B3A6B"/>
                <w:sz w:val="22"/>
                <w:szCs w:val="22"/>
              </w:rPr>
              <w:t xml:space="preserve">February 23 – April 13, 2026  ·  7 Weeks</w:t>
            </w:r>
          </w:p>
        </w:tc>
        <w:tc>
          <w:tcPr>
            <w:tcW w:type="dxa" w:w="1900"/>
            <w:tcBorders>
              <w:top w:val="single" w:color="1B3A6B" w:sz="4"/>
              <w:left w:val="single" w:color="1B3A6B" w:sz="4"/>
              <w:bottom w:val="single" w:color="1B3A6B" w:sz="4"/>
              <w:right w:val="single" w:color="1B3A6B" w:sz="4"/>
            </w:tcBorders>
            <w:shd w:fill="EDF4F2" w:val="clear"/>
            <w:tcMar>
              <w:top w:type="dxa" w:w="100"/>
              <w:left w:type="dxa" w:w="140"/>
              <w:bottom w:type="dxa" w:w="100"/>
              <w:right w:type="dxa" w:w="140"/>
            </w:tcMar>
          </w:tcPr>
          <w:p>
            <w:pPr>
              <w:spacing w:before="0" w:after="0"/>
            </w:pPr>
            <w:r>
              <w:rPr>
                <w:rFonts w:ascii="Arial" w:cs="Arial" w:eastAsia="Arial" w:hAnsi="Arial"/>
                <w:b/>
                <w:bCs/>
                <w:color w:val="1B3A6B"/>
                <w:sz w:val="22"/>
                <w:szCs w:val="22"/>
              </w:rPr>
              <w:t xml:space="preserve">$16,000</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4"/>
              <w:bottom w:val="single" w:color="1B3A6B" w:sz="4"/>
              <w:right w:val="single" w:color="1B3A6B" w:sz="4"/>
            </w:tcBorders>
            <w:shd w:fill="EDF4F2" w:val="clear"/>
            <w:tcMar>
              <w:top w:type="dxa" w:w="140"/>
              <w:left w:type="dxa" w:w="200"/>
              <w:bottom w:type="dxa" w:w="140"/>
              <w:right w:type="dxa" w:w="200"/>
            </w:tcMar>
          </w:tcPr>
          <w:p>
            <w:pPr>
              <w:spacing w:before="0" w:after="60"/>
            </w:pPr>
            <w:r>
              <w:rPr>
                <w:rFonts w:ascii="Arial" w:cs="Arial" w:eastAsia="Arial" w:hAnsi="Arial"/>
                <w:b/>
                <w:bCs/>
                <w:color w:val="1B3A6B"/>
                <w:sz w:val="20"/>
                <w:szCs w:val="20"/>
              </w:rPr>
              <w:t xml:space="preserve">Timeline Notes</w:t>
            </w:r>
          </w:p>
          <w:p>
            <w:pPr>
              <w:spacing w:before="0" w:after="60"/>
            </w:pPr>
            <w:r>
              <w:rPr>
                <w:rFonts w:ascii="Arial" w:cs="Arial" w:eastAsia="Arial" w:hAnsi="Arial"/>
                <w:b w:val="false"/>
                <w:bCs w:val="false"/>
                <w:color w:val="333333"/>
                <w:sz w:val="20"/>
                <w:szCs w:val="20"/>
              </w:rPr>
              <w:t xml:space="preserve">This schedule has no built-in buffer. Client feedback and approvals are expected within 48 hours of each delivery to keep phases on track.</w:t>
            </w:r>
          </w:p>
          <w:p>
            <w:pPr>
              <w:spacing w:before="0" w:after="60"/>
            </w:pPr>
            <w:r>
              <w:rPr>
                <w:rFonts w:ascii="Arial" w:cs="Arial" w:eastAsia="Arial" w:hAnsi="Arial"/>
                <w:b w:val="false"/>
                <w:bCs w:val="false"/>
                <w:color w:val="333333"/>
                <w:sz w:val="20"/>
                <w:szCs w:val="20"/>
              </w:rPr>
              <w:t xml:space="preserve">All finalized content must be delivered to Pocketknife by March 28 to protect the April 13 go-live date.</w:t>
            </w:r>
          </w:p>
          <w:p>
            <w:pPr>
              <w:spacing w:before="0" w:after="0"/>
            </w:pPr>
            <w:r>
              <w:rPr>
                <w:rFonts w:ascii="Arial" w:cs="Arial" w:eastAsia="Arial" w:hAnsi="Arial"/>
                <w:b w:val="false"/>
                <w:bCs w:val="false"/>
                <w:color w:val="333333"/>
                <w:sz w:val="20"/>
                <w:szCs w:val="20"/>
              </w:rPr>
              <w:t xml:space="preserve">Per the project agreement, delays of more than 14 days due to missing content or approvals will result in a restart fee equal to 25% of the remaining balance.</w:t>
            </w:r>
          </w:p>
        </w:tc>
      </w:tr>
    </w:tbl>
    <w:p>
      <w:r>
        <w:br w:type="page"/>
      </w:r>
    </w:p>
    <w:p>
      <w:pPr>
        <w:pBdr>
          <w:bottom w:val="single" w:color="2E7D6B" w:sz="4" w:space="1"/>
        </w:pBdr>
        <w:spacing w:before="320" w:after="80"/>
      </w:pPr>
      <w:r>
        <w:rPr>
          <w:rFonts w:ascii="Arial" w:cs="Arial" w:eastAsia="Arial" w:hAnsi="Arial"/>
          <w:b/>
          <w:bCs/>
          <w:color w:val="2E7D6B"/>
          <w:spacing w:val="80"/>
          <w:sz w:val="18"/>
          <w:szCs w:val="18"/>
        </w:rPr>
        <w:t xml:space="preserve">SECTION 3</w:t>
      </w:r>
    </w:p>
    <w:p>
      <w:pPr>
        <w:spacing w:before="60" w:after="120"/>
      </w:pPr>
      <w:r>
        <w:rPr>
          <w:rFonts w:ascii="Arial" w:cs="Arial" w:eastAsia="Arial" w:hAnsi="Arial"/>
          <w:b/>
          <w:bCs/>
          <w:color w:val="1B3A6B"/>
          <w:sz w:val="36"/>
          <w:szCs w:val="36"/>
        </w:rPr>
        <w:t xml:space="preserve">Content Overview</w:t>
      </w:r>
    </w:p>
    <w:p>
      <w:pPr>
        <w:spacing w:before="0" w:after="100"/>
      </w:pPr>
      <w:r>
        <w:rPr>
          <w:rFonts w:ascii="Arial" w:cs="Arial" w:eastAsia="Arial" w:hAnsi="Arial"/>
          <w:color w:val="444444"/>
          <w:sz w:val="22"/>
          <w:szCs w:val="22"/>
        </w:rPr>
        <w:t xml:space="preserve">The Alliance Playbook document contains 9 fully written case study narratives and 15 practical tools and templates. Below is a complete inventory of both, along with questions to align on before Phase 3 development begins.</w:t>
      </w:r>
    </w:p>
    <w:p>
      <w:pPr>
        <w:spacing w:before="260" w:after="100"/>
      </w:pPr>
      <w:r>
        <w:rPr>
          <w:rFonts w:ascii="Arial" w:cs="Arial" w:eastAsia="Arial" w:hAnsi="Arial"/>
          <w:b/>
          <w:bCs/>
          <w:color w:val="2E7D6B"/>
          <w:sz w:val="26"/>
          <w:szCs w:val="26"/>
        </w:rPr>
        <w:t xml:space="preserve">Case Studies  —  9 Documented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1600"/>
        <w:gridCol w:w="3600"/>
      </w:tblGrid>
      <w:tr>
        <w:tc>
          <w:tcPr>
            <w:tcW w:type="dxa" w:w="360"/>
            <w:tcBorders>
              <w:top w:val="none" w:color="FFFFFF" w:sz="0"/>
              <w:left w:val="none" w:color="FFFFFF" w:sz="0"/>
              <w:bottom w:val="none" w:color="FFFFFF" w:sz="0"/>
              <w:right w:val="none" w:color="FFFFFF" w:sz="0"/>
            </w:tcBorders>
            <w:shd w:fill="2E7D6B"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w:t>
            </w:r>
          </w:p>
        </w:tc>
        <w:tc>
          <w:tcPr>
            <w:tcW w:type="dxa" w:w="38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Case Title</w:t>
            </w:r>
          </w:p>
        </w:tc>
        <w:tc>
          <w:tcPr>
            <w:tcW w:type="dxa" w:w="16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City</w:t>
            </w:r>
          </w:p>
        </w:tc>
        <w:tc>
          <w:tcPr>
            <w:tcW w:type="dxa" w:w="36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Theme</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w:t>
            </w:r>
          </w:p>
        </w:tc>
        <w:tc>
          <w:tcPr>
            <w:tcW w:type="dxa" w:w="3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Rural Capacity-Building through Mutual Trust</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Bangor, ME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 &amp; Structured Collaboration</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2</w:t>
            </w:r>
          </w:p>
        </w:tc>
        <w:tc>
          <w:tcPr>
            <w:tcW w:type="dxa" w:w="38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Legitimacy Through Visibility</w:t>
            </w:r>
          </w:p>
        </w:tc>
        <w:tc>
          <w:tcPr>
            <w:tcW w:type="dxa" w:w="1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Omaha, NE</w:t>
            </w:r>
          </w:p>
        </w:tc>
        <w:tc>
          <w:tcPr>
            <w:tcW w:type="dxa" w:w="3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CBO Recognition &amp; Regional Integration</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3</w:t>
            </w:r>
          </w:p>
        </w:tc>
        <w:tc>
          <w:tcPr>
            <w:tcW w:type="dxa" w:w="3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Redevelopment with Local Leadership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Honolulu, HI</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Resident-Led Revitalization</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4</w:t>
            </w:r>
          </w:p>
        </w:tc>
        <w:tc>
          <w:tcPr>
            <w:tcW w:type="dxa" w:w="38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Designing for Collaboration</w:t>
            </w:r>
          </w:p>
        </w:tc>
        <w:tc>
          <w:tcPr>
            <w:tcW w:type="dxa" w:w="1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Detroit, MI</w:t>
            </w:r>
          </w:p>
        </w:tc>
        <w:tc>
          <w:tcPr>
            <w:tcW w:type="dxa" w:w="3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Commercial Corridor Revitalization</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5</w:t>
            </w:r>
          </w:p>
        </w:tc>
        <w:tc>
          <w:tcPr>
            <w:tcW w:type="dxa" w:w="3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Rebuilding Trust through Structured Facilitation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Sarasota, FL</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Municipal-Neighborhood Trust Repair</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6</w:t>
            </w:r>
          </w:p>
        </w:tc>
        <w:tc>
          <w:tcPr>
            <w:tcW w:type="dxa" w:w="38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Reintroductions in Transition</w:t>
            </w:r>
          </w:p>
        </w:tc>
        <w:tc>
          <w:tcPr>
            <w:tcW w:type="dxa" w:w="1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Cleveland, OH</w:t>
            </w:r>
          </w:p>
        </w:tc>
        <w:tc>
          <w:tcPr>
            <w:tcW w:type="dxa" w:w="3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Accountability Through Leadership Change</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7</w:t>
            </w:r>
          </w:p>
        </w:tc>
        <w:tc>
          <w:tcPr>
            <w:tcW w:type="dxa" w:w="3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Building Unified Economic Mobility</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Shreveport, LA</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Shared Indicators &amp; Coalition Infrastructure</w:t>
            </w:r>
          </w:p>
        </w:tc>
      </w:tr>
      <w:tr>
        <w:tc>
          <w:tcPr>
            <w:tcW w:type="dxa" w:w="36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8</w:t>
            </w:r>
          </w:p>
        </w:tc>
        <w:tc>
          <w:tcPr>
            <w:tcW w:type="dxa" w:w="38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Building Stronger Partnerships through Communication</w:t>
            </w:r>
          </w:p>
        </w:tc>
        <w:tc>
          <w:tcPr>
            <w:tcW w:type="dxa" w:w="1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Sacramento, CA</w:t>
            </w:r>
          </w:p>
        </w:tc>
        <w:tc>
          <w:tcPr>
            <w:tcW w:type="dxa" w:w="3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Small Business &amp; Neighborhood Development</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9</w:t>
            </w:r>
          </w:p>
        </w:tc>
        <w:tc>
          <w:tcPr>
            <w:tcW w:type="dxa" w:w="3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Advancing Corridor Redevelopment through Partnership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New Orleans, LA</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Corridor Revitalization &amp; Asset Mapping</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4"/>
              <w:left w:val="single" w:color="2E7D6B" w:sz="24"/>
              <w:bottom w:val="single" w:color="2E7D6B" w:sz="4"/>
              <w:right w:val="single" w:color="2E7D6B" w:sz="4"/>
            </w:tcBorders>
            <w:shd w:fill="EDF4F2" w:val="clear"/>
            <w:tcMar>
              <w:top w:type="dxa" w:w="140"/>
              <w:left w:type="dxa" w:w="200"/>
              <w:bottom w:type="dxa" w:w="140"/>
              <w:right w:type="dxa" w:w="200"/>
            </w:tcMar>
          </w:tcPr>
          <w:p>
            <w:pPr>
              <w:spacing w:before="0" w:after="60"/>
            </w:pPr>
            <w:r>
              <w:rPr>
                <w:rFonts w:ascii="Arial" w:cs="Arial" w:eastAsia="Arial" w:hAnsi="Arial"/>
                <w:b/>
                <w:bCs/>
                <w:color w:val="2E7D6B"/>
                <w:sz w:val="20"/>
                <w:szCs w:val="20"/>
              </w:rPr>
              <w:t xml:space="preserve">Case Study Questions</w:t>
            </w:r>
          </w:p>
          <w:p>
            <w:pPr>
              <w:spacing w:before="0" w:after="60"/>
            </w:pPr>
            <w:r>
              <w:rPr>
                <w:rFonts w:ascii="Arial" w:cs="Arial" w:eastAsia="Arial" w:hAnsi="Arial"/>
                <w:b w:val="false"/>
                <w:bCs w:val="false"/>
                <w:color w:val="333333"/>
                <w:sz w:val="20"/>
                <w:szCs w:val="20"/>
              </w:rPr>
              <w:t xml:space="preserve">1.  The proposal references approximately 24+ case study pages. The Playbook document contains 9 fully written narratives. Please confirm: are we launching with these 9 cases, or is additional content being prepared?</w:t>
            </w:r>
          </w:p>
          <w:p>
            <w:pPr>
              <w:spacing w:before="0" w:after="60"/>
            </w:pPr>
            <w:r>
              <w:rPr>
                <w:rFonts w:ascii="Arial" w:cs="Arial" w:eastAsia="Arial" w:hAnsi="Arial"/>
                <w:b w:val="false"/>
                <w:bCs w:val="false"/>
                <w:color w:val="333333"/>
                <w:sz w:val="20"/>
                <w:szCs w:val="20"/>
              </w:rPr>
              <w:t xml:space="preserve">2.  Does each case study have supporting assets such as photographs or organization logos? If so, who is responsible for gathering and delivering these?</w:t>
            </w:r>
          </w:p>
          <w:p>
            <w:pPr>
              <w:spacing w:before="0" w:after="60"/>
            </w:pPr>
            <w:r>
              <w:rPr>
                <w:rFonts w:ascii="Arial" w:cs="Arial" w:eastAsia="Arial" w:hAnsi="Arial"/>
                <w:b w:val="false"/>
                <w:bCs w:val="false"/>
                <w:color w:val="333333"/>
                <w:sz w:val="20"/>
                <w:szCs w:val="20"/>
              </w:rPr>
              <w:t xml:space="preserve">3.  What is the preferred sort order or grouping for case studies on the Cities Index page?</w:t>
            </w:r>
          </w:p>
          <w:p>
            <w:pPr>
              <w:spacing w:before="0" w:after="0"/>
            </w:pPr>
            <w:r>
              <w:rPr>
                <w:rFonts w:ascii="Arial" w:cs="Arial" w:eastAsia="Arial" w:hAnsi="Arial"/>
                <w:b w:val="false"/>
                <w:bCs w:val="false"/>
                <w:color w:val="333333"/>
                <w:sz w:val="20"/>
                <w:szCs w:val="20"/>
              </w:rPr>
              <w:t xml:space="preserve">4.  Are additional case studies expected to be added to the site after launch?</w:t>
            </w:r>
          </w:p>
        </w:tc>
      </w:tr>
    </w:tbl>
    <w:p>
      <w:pPr>
        <w:spacing w:before="0" w:after="160"/>
      </w:pPr>
      <w:r>
        <w:t xml:space="preserve"/>
      </w:r>
    </w:p>
    <w:p>
      <w:pPr>
        <w:spacing w:before="260" w:after="100"/>
      </w:pPr>
      <w:r>
        <w:rPr>
          <w:rFonts w:ascii="Arial" w:cs="Arial" w:eastAsia="Arial" w:hAnsi="Arial"/>
          <w:b/>
          <w:bCs/>
          <w:color w:val="2E7D6B"/>
          <w:sz w:val="26"/>
          <w:szCs w:val="26"/>
        </w:rPr>
        <w:t xml:space="preserve">Resources Bank  —  15 Tools &amp; Templates</w:t>
      </w:r>
    </w:p>
    <w:p>
      <w:pPr>
        <w:spacing w:before="0" w:after="100"/>
      </w:pPr>
      <w:r>
        <w:rPr>
          <w:rFonts w:ascii="Arial" w:cs="Arial" w:eastAsia="Arial" w:hAnsi="Arial"/>
          <w:color w:val="444444"/>
          <w:sz w:val="22"/>
          <w:szCs w:val="22"/>
        </w:rPr>
        <w:t xml:space="preserve">All 15 tools are fully written in the Playbook document and range from single-page templates to multi-section kits. Below is the complete list organized by the building block each tool primarily supports.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none" w:color="FFFFFF" w:sz="0"/>
              <w:left w:val="none" w:color="FFFFFF" w:sz="0"/>
              <w:bottom w:val="none" w:color="FFFFFF" w:sz="0"/>
              <w:right w:val="none" w:color="FFFFFF" w:sz="0"/>
            </w:tcBorders>
            <w:shd w:fill="2E7D6B"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w:t>
            </w:r>
          </w:p>
        </w:tc>
        <w:tc>
          <w:tcPr>
            <w:tcW w:type="dxa" w:w="556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Tool Name</w:t>
            </w:r>
          </w:p>
        </w:tc>
        <w:tc>
          <w:tcPr>
            <w:tcW w:type="dxa" w:w="34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Building Block</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Coalition Continuity Framework</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2</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Rapid Action Planning Template</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3</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Positionality Statement Development &amp; Sharing</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4</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Power-Sharing Charter Template</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 / Structure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5</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Internal Alignment Self-Assessment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6</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Convenor Selection Tool</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7</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Meeting Cadence &amp; Accountability Kit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8</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Narrative Building Training Summary</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Shared Narrative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9</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Strategic Doing Session-in-a-Box</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10</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Partnership MOA &amp; Board-Alignment Pack</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11</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Pivot Protocol (Project Realignment Guide)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12</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Community Engagement SOW + Resident Council Kit</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13</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Capacity &amp; Resourcing Toolkit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Facilitation &amp; Project Management</w:t>
            </w:r>
          </w:p>
        </w:tc>
      </w:tr>
      <w:tr>
        <w:tc>
          <w:tcPr>
            <w:tcW w:type="dxa" w:w="4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14</w:t>
            </w:r>
          </w:p>
        </w:tc>
        <w:tc>
          <w:tcPr>
            <w:tcW w:type="dxa" w:w="55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Friction-to-Innovation Diagnostic</w:t>
            </w:r>
          </w:p>
        </w:tc>
        <w:tc>
          <w:tcPr>
            <w:tcW w:type="dxa" w:w="3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Trust / Shared Narrative</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15</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20"/>
                <w:szCs w:val="20"/>
              </w:rPr>
              <w:t xml:space="preserve">Ecosystem Mapping &amp; Alignment Toolkit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Structure &amp; Shared Practice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4"/>
              <w:left w:val="single" w:color="2E7D6B" w:sz="24"/>
              <w:bottom w:val="single" w:color="2E7D6B" w:sz="4"/>
              <w:right w:val="single" w:color="2E7D6B" w:sz="4"/>
            </w:tcBorders>
            <w:shd w:fill="EDF4F2" w:val="clear"/>
            <w:tcMar>
              <w:top w:type="dxa" w:w="140"/>
              <w:left w:type="dxa" w:w="200"/>
              <w:bottom w:type="dxa" w:w="140"/>
              <w:right w:type="dxa" w:w="200"/>
            </w:tcMar>
          </w:tcPr>
          <w:p>
            <w:pPr>
              <w:spacing w:before="0" w:after="60"/>
            </w:pPr>
            <w:r>
              <w:rPr>
                <w:rFonts w:ascii="Arial" w:cs="Arial" w:eastAsia="Arial" w:hAnsi="Arial"/>
                <w:b/>
                <w:bCs/>
                <w:color w:val="2E7D6B"/>
                <w:sz w:val="20"/>
                <w:szCs w:val="20"/>
              </w:rPr>
              <w:t xml:space="preserve">Resources Bank Questions</w:t>
            </w:r>
          </w:p>
          <w:p>
            <w:pPr>
              <w:spacing w:before="0" w:after="60"/>
            </w:pPr>
            <w:r>
              <w:rPr>
                <w:rFonts w:ascii="Arial" w:cs="Arial" w:eastAsia="Arial" w:hAnsi="Arial"/>
                <w:b w:val="false"/>
                <w:bCs w:val="false"/>
                <w:color w:val="333333"/>
                <w:sz w:val="20"/>
                <w:szCs w:val="20"/>
              </w:rPr>
              <w:t xml:space="preserve">1.  Should tools be available as downloadable files (PDF or Word), displayed as web-only content, or both?</w:t>
            </w:r>
          </w:p>
          <w:p>
            <w:pPr>
              <w:spacing w:before="0" w:after="60"/>
            </w:pPr>
            <w:r>
              <w:rPr>
                <w:rFonts w:ascii="Arial" w:cs="Arial" w:eastAsia="Arial" w:hAnsi="Arial"/>
                <w:b w:val="false"/>
                <w:bCs w:val="false"/>
                <w:color w:val="333333"/>
                <w:sz w:val="20"/>
                <w:szCs w:val="20"/>
              </w:rPr>
              <w:t xml:space="preserve">2.  If downloadable, who is responsible for preparing the 15 formatted files, and by what date? These are needed before Phase 4 begins (March 30).</w:t>
            </w:r>
          </w:p>
          <w:p>
            <w:pPr>
              <w:spacing w:before="0" w:after="60"/>
            </w:pPr>
            <w:r>
              <w:rPr>
                <w:rFonts w:ascii="Arial" w:cs="Arial" w:eastAsia="Arial" w:hAnsi="Arial"/>
                <w:b w:val="false"/>
                <w:bCs w:val="false"/>
                <w:color w:val="333333"/>
                <w:sz w:val="20"/>
                <w:szCs w:val="20"/>
              </w:rPr>
              <w:t xml:space="preserve">3.  Should the Resources Bank be filterable or sortable by building block, tool type, or use case?</w:t>
            </w:r>
          </w:p>
          <w:p>
            <w:pPr>
              <w:spacing w:before="0" w:after="0"/>
            </w:pPr>
            <w:r>
              <w:rPr>
                <w:rFonts w:ascii="Arial" w:cs="Arial" w:eastAsia="Arial" w:hAnsi="Arial"/>
                <w:b w:val="false"/>
                <w:bCs w:val="false"/>
                <w:color w:val="333333"/>
                <w:sz w:val="20"/>
                <w:szCs w:val="20"/>
              </w:rPr>
              <w:t xml:space="preserve">4.  Are additional tools or resources expected to be added after launch?</w:t>
            </w:r>
          </w:p>
        </w:tc>
      </w:tr>
    </w:tbl>
    <w:p>
      <w:r>
        <w:br w:type="page"/>
      </w:r>
    </w:p>
    <w:p>
      <w:pPr>
        <w:pBdr>
          <w:bottom w:val="single" w:color="2E7D6B" w:sz="4" w:space="1"/>
        </w:pBdr>
        <w:spacing w:before="320" w:after="80"/>
      </w:pPr>
      <w:r>
        <w:rPr>
          <w:rFonts w:ascii="Arial" w:cs="Arial" w:eastAsia="Arial" w:hAnsi="Arial"/>
          <w:b/>
          <w:bCs/>
          <w:color w:val="2E7D6B"/>
          <w:spacing w:val="80"/>
          <w:sz w:val="18"/>
          <w:szCs w:val="18"/>
        </w:rPr>
        <w:t xml:space="preserve">SECTION 4</w:t>
      </w:r>
    </w:p>
    <w:p>
      <w:pPr>
        <w:spacing w:before="60" w:after="120"/>
      </w:pPr>
      <w:r>
        <w:rPr>
          <w:rFonts w:ascii="Arial" w:cs="Arial" w:eastAsia="Arial" w:hAnsi="Arial"/>
          <w:b/>
          <w:bCs/>
          <w:color w:val="1B3A6B"/>
          <w:sz w:val="36"/>
          <w:szCs w:val="36"/>
        </w:rPr>
        <w:t xml:space="preserve">Content Responsibility Matrix</w:t>
      </w:r>
    </w:p>
    <w:p>
      <w:pPr>
        <w:spacing w:before="0" w:after="100"/>
      </w:pPr>
      <w:r>
        <w:rPr>
          <w:rFonts w:ascii="Arial" w:cs="Arial" w:eastAsia="Arial" w:hAnsi="Arial"/>
          <w:color w:val="444444"/>
          <w:sz w:val="22"/>
          <w:szCs w:val="22"/>
        </w:rPr>
        <w:t xml:space="preserve">Every project deliverable, who owns it, when it is due, and any associated notes. Items owned by NGIN are the client-side dependencies that directly affect our ability to meet the April 13 go-live.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4"/>
              <w:bottom w:val="single" w:color="1B3A6B" w:sz="4"/>
              <w:right w:val="single" w:color="1B3A6B" w:sz="4"/>
            </w:tcBorders>
            <w:shd w:fill="EDF4F2" w:val="clear"/>
            <w:tcMar>
              <w:top w:type="dxa" w:w="140"/>
              <w:left w:type="dxa" w:w="200"/>
              <w:bottom w:type="dxa" w:w="140"/>
              <w:right w:type="dxa" w:w="200"/>
            </w:tcMar>
          </w:tcPr>
          <w:p>
            <w:pPr>
              <w:spacing w:before="0" w:after="60"/>
            </w:pPr>
            <w:r>
              <w:rPr>
                <w:rFonts w:ascii="Arial" w:cs="Arial" w:eastAsia="Arial" w:hAnsi="Arial"/>
                <w:b/>
                <w:bCs/>
                <w:color w:val="1B3A6B"/>
                <w:sz w:val="20"/>
                <w:szCs w:val="20"/>
              </w:rPr>
              <w:t xml:space="preserve">Key Deadlines at a Glance</w:t>
            </w:r>
          </w:p>
          <w:p>
            <w:pPr>
              <w:spacing w:before="0" w:after="60"/>
            </w:pPr>
            <w:r>
              <w:rPr>
                <w:rFonts w:ascii="Arial" w:cs="Arial" w:eastAsia="Arial" w:hAnsi="Arial"/>
                <w:b w:val="false"/>
                <w:bCs w:val="false"/>
                <w:color w:val="333333"/>
                <w:sz w:val="20"/>
                <w:szCs w:val="20"/>
              </w:rPr>
              <w:t xml:space="preserve">Brand assets &amp; account access  →  February 28</w:t>
            </w:r>
          </w:p>
          <w:p>
            <w:pPr>
              <w:spacing w:before="0" w:after="60"/>
            </w:pPr>
            <w:r>
              <w:rPr>
                <w:rFonts w:ascii="Arial" w:cs="Arial" w:eastAsia="Arial" w:hAnsi="Arial"/>
                <w:b w:val="false"/>
                <w:bCs w:val="false"/>
                <w:color w:val="333333"/>
                <w:sz w:val="20"/>
                <w:szCs w:val="20"/>
              </w:rPr>
              <w:t xml:space="preserve">All finalized content, case studies &amp; tool files  →  March 28</w:t>
            </w:r>
          </w:p>
          <w:p>
            <w:pPr>
              <w:spacing w:before="0" w:after="60"/>
            </w:pPr>
            <w:r>
              <w:rPr>
                <w:rFonts w:ascii="Arial" w:cs="Arial" w:eastAsia="Arial" w:hAnsi="Arial"/>
                <w:b w:val="false"/>
                <w:bCs w:val="false"/>
                <w:color w:val="333333"/>
                <w:sz w:val="20"/>
                <w:szCs w:val="20"/>
              </w:rPr>
              <w:t xml:space="preserve">DNS access &amp; analytics setup  →  April 7</w:t>
            </w:r>
          </w:p>
          <w:p>
            <w:pPr>
              <w:spacing w:before="0" w:after="0"/>
            </w:pPr>
            <w:r>
              <w:rPr>
                <w:rFonts w:ascii="Arial" w:cs="Arial" w:eastAsia="Arial" w:hAnsi="Arial"/>
                <w:b w:val="false"/>
                <w:bCs w:val="false"/>
                <w:color w:val="333333"/>
                <w:sz w:val="20"/>
                <w:szCs w:val="20"/>
              </w:rPr>
              <w:t xml:space="preserve">Final launch approval  →  April 13</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100"/>
        <w:gridCol w:w="1000"/>
        <w:gridCol w:w="3060"/>
      </w:tblGrid>
      <w:tr>
        <w:tc>
          <w:tcPr>
            <w:tcW w:type="dxa" w:w="29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Deliverable</w:t>
            </w:r>
          </w:p>
        </w:tc>
        <w:tc>
          <w:tcPr>
            <w:tcW w:type="dxa" w:w="13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Owner</w:t>
            </w:r>
          </w:p>
        </w:tc>
        <w:tc>
          <w:tcPr>
            <w:tcW w:type="dxa" w:w="11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Phase</w:t>
            </w:r>
          </w:p>
        </w:tc>
        <w:tc>
          <w:tcPr>
            <w:tcW w:type="dxa" w:w="10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Due By</w:t>
            </w:r>
          </w:p>
        </w:tc>
        <w:tc>
          <w:tcPr>
            <w:tcW w:type="dxa" w:w="30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Notes</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Kickoff call recap &amp; action item summary</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Sent within 24 hours of kickoff call</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Squarespace environment setup</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Sitemap draft for client approval</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Must be approved before Phase 2 begins</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Project management workspace</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Brand guidelines, logos &amp; color palette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Required before design begins</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Photography &amp; imagery assets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Hero sections, case study pages</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Squarespace account access</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Feb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Pocketknife to be added as contributor</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Page layout designs (all page types)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Home, About, Framework, Resources, Case Study template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NGIN branding &amp; visual system applied</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Design feedback — Round 1</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13+48h</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48-hour turnaround from design delivery</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Design revisions</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Framework visuals (if add-on approved)</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2</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Optional $3,500 add-on</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static pages built in Squarespace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Home, About, Framework &amp; Insights, Resources Bank, Cities Index</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Case study template built &amp; applied to all cases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One template, scaled to confirmed page count</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finalized written content — every page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Must be 100% final. Late content risks the April 13 go-live.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case study content (text + data per city)</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Confirmed page count required before Phase 3 begins</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All 15 tool files for Resources Bank</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Format TBD (PDF, Word, or web-only). Confirm at kickoff.</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Additional imagery or supporting visuals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1B3A6B"/>
                <w:sz w:val="20"/>
                <w:szCs w:val="20"/>
              </w:rPr>
              <w:t xml:space="preserve">Phase 3</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Mar 28</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Content upload &amp; formatting</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All client content must be delivered by Mar 28</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Accessibility &amp; searchability optimization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Content review — Round 2</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4+48h</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Final review before QA. 48-hour turnaround.</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Content revisions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20"/>
                <w:szCs w:val="20"/>
              </w:rPr>
              <w:t xml:space="preserve">Phase 4</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4+</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Scope changes at this stage billed at $150/hr</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QA testing (all devices &amp; browsers)</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SEO setup (page titles, alt text, URL structure)</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DNS: playbook.newgrowth.org subdomain setup</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Allow 24–48 hrs for propagation</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Google Analytics &amp; Search Console access</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7</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Admin access required before go-live</w:t>
            </w:r>
          </w:p>
        </w:tc>
      </w:tr>
      <w:tr>
        <w:tc>
          <w:tcPr>
            <w:tcW w:type="dxa" w:w="2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Final launch approval (written confirmation)</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20"/>
                <w:szCs w:val="20"/>
              </w:rPr>
              <w:t xml:space="preserve">NGIN</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13</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19"/>
                <w:szCs w:val="19"/>
              </w:rPr>
              <w:t xml:space="preserve">Email confirmation required before go-live</w:t>
            </w:r>
          </w:p>
        </w:tc>
      </w:tr>
      <w:tr>
        <w:tc>
          <w:tcPr>
            <w:tcW w:type="dxa" w:w="2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Go-live &amp; subdomain integration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20"/>
                <w:szCs w:val="20"/>
              </w:rPr>
              <w:t xml:space="preserve">Pocketknife</w:t>
            </w:r>
          </w:p>
        </w:tc>
        <w:tc>
          <w:tcPr>
            <w:tcW w:type="dxa" w:w="11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Phase 5</w:t>
            </w:r>
          </w:p>
        </w:tc>
        <w:tc>
          <w:tcPr>
            <w:tcW w:type="dxa" w:w="10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Apr 13</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19"/>
                <w:szCs w:val="19"/>
              </w:rPr>
              <w:t xml:space="preserv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ED9" w:sz="4" w:space="1"/>
      </w:pBdr>
      <w:tabs>
        <w:tab w:val="right" w:pos="9026"/>
      </w:tabs>
      <w:spacing w:before="80" w:after="0"/>
    </w:pPr>
    <w:r>
      <w:rPr>
        <w:rFonts w:ascii="Arial" w:cs="Arial" w:eastAsia="Arial" w:hAnsi="Arial"/>
        <w:color w:val="6B7280"/>
        <w:sz w:val="18"/>
        <w:szCs w:val="18"/>
      </w:rPr>
      <w:t xml:space="preserve">Pocketknife  ·  New Growth Innovation Network</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ED9" w:sz="4" w:space="1"/>
      </w:pBdr>
      <w:tabs>
        <w:tab w:val="right" w:pos="9026"/>
      </w:tabs>
      <w:spacing w:before="0" w:after="80"/>
    </w:pPr>
    <w:r>
      <w:rPr>
        <w:rFonts w:ascii="Arial" w:cs="Arial" w:eastAsia="Arial" w:hAnsi="Arial"/>
        <w:color w:val="6B7280"/>
        <w:sz w:val="18"/>
        <w:szCs w:val="18"/>
      </w:rPr>
      <w:t xml:space="preserve">NGIN Alliance Playbook  ·  Kickoff Meeting</w:t>
    </w:r>
    <w:r>
      <w:rPr>
        <w:rFonts w:ascii="Arial" w:cs="Arial" w:eastAsia="Arial" w:hAnsi="Arial"/>
        <w:color w:val="6B7280"/>
        <w:sz w:val="18"/>
        <w:szCs w:val="18"/>
      </w:rPr>
      <w:t xml:space="preserve">	February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2026-02-23T17:54:05.848Z</dcterms:created>
  <dcterms:modified xsi:type="dcterms:W3CDTF">2026-02-23T17:54:05.848Z</dcterms:modified>
</cp:coreProperties>
</file>

<file path=docProps/custom.xml><?xml version="1.0" encoding="utf-8"?>
<Properties xmlns="http://schemas.openxmlformats.org/officeDocument/2006/custom-properties" xmlns:vt="http://schemas.openxmlformats.org/officeDocument/2006/docPropsVTypes"/>
</file>