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t xml:space="preserve"/>
      </w:r>
    </w:p>
    <w:p>
      <w:pPr>
        <w:spacing w:before="0" w:after="80"/>
      </w:pPr>
      <w:r>
        <w:rPr>
          <w:rFonts w:ascii="Arial" w:cs="Arial" w:eastAsia="Arial" w:hAnsi="Arial"/>
          <w:b/>
          <w:bCs/>
          <w:color w:val="1B3A6B"/>
          <w:sz w:val="48"/>
          <w:szCs w:val="48"/>
        </w:rPr>
        <w:t xml:space="preserve">NGIN Alliance Playbook</w:t>
      </w:r>
    </w:p>
    <w:p>
      <w:pPr>
        <w:spacing w:before="0" w:after="60"/>
      </w:pPr>
      <w:r>
        <w:rPr>
          <w:rFonts w:ascii="Arial" w:cs="Arial" w:eastAsia="Arial" w:hAnsi="Arial"/>
          <w:color w:val="2E7D6B"/>
          <w:sz w:val="26"/>
          <w:szCs w:val="26"/>
        </w:rPr>
        <w:t xml:space="preserve">Kickoff Prep Document  ·  February 23, 2026</w:t>
      </w:r>
    </w:p>
    <w:p>
      <w:pPr>
        <w:spacing w:before="0" w:after="60"/>
      </w:pPr>
      <w:r>
        <w:rPr>
          <w:rFonts w:ascii="Arial" w:cs="Arial" w:eastAsia="Arial" w:hAnsi="Arial"/>
          <w:color w:val="6B7280"/>
          <w:sz w:val="22"/>
          <w:szCs w:val="22"/>
        </w:rPr>
        <w:t xml:space="preserve">Prepared by Jared  ·  Pocketknife</w:t>
      </w:r>
    </w:p>
    <w:p>
      <w:pPr>
        <w:pBdr>
          <w:bottom w:val="single" w:color="C9DED9" w:sz="6" w:space="1"/>
        </w:pBdr>
        <w:spacing w:before="200" w:after="200"/>
      </w:pPr>
      <w:r>
        <w:t xml:space="preserve"/>
      </w:r>
    </w:p>
    <w:p>
      <w:pPr>
        <w:spacing w:before="360" w:after="180"/>
      </w:pPr>
      <w:r>
        <w:rPr>
          <w:rFonts w:ascii="Arial" w:cs="Arial" w:eastAsia="Arial" w:hAnsi="Arial"/>
          <w:b/>
          <w:bCs/>
          <w:color w:val="1B3A6B"/>
          <w:sz w:val="36"/>
          <w:szCs w:val="36"/>
        </w:rPr>
        <w:t xml:space="preserve">1. Project Summary</w:t>
      </w:r>
    </w:p>
    <w:p>
      <w:pPr>
        <w:spacing w:before="60" w:after="100"/>
      </w:pPr>
      <w:r>
        <w:rPr>
          <w:rFonts w:ascii="Arial" w:cs="Arial" w:eastAsia="Arial" w:hAnsi="Arial"/>
          <w:color w:val="222222"/>
          <w:sz w:val="22"/>
          <w:szCs w:val="22"/>
        </w:rPr>
        <w:t xml:space="preserve">The Economic Partnership Alliance Playbook is a standalone microsite commissioned by New Growth Innovation Network (NGIN) to house the lessons, case studies, and tools from their two-phase economic partnership program. The site is built to be a long-term, scalable resource hub for community development leaders nationwide.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DF4F2" w:val="clear"/>
            <w:tcMar>
              <w:top w:type="dxa" w:w="120"/>
              <w:left w:type="dxa" w:w="160"/>
              <w:bottom w:type="dxa" w:w="120"/>
              <w:right w:type="dxa" w:w="160"/>
            </w:tcMar>
          </w:tcPr>
          <w:p>
            <w:pPr>
              <w:spacing w:before="0" w:after="40"/>
            </w:pPr>
            <w:r>
              <w:rPr>
                <w:rFonts w:ascii="Arial" w:cs="Arial" w:eastAsia="Arial" w:hAnsi="Arial"/>
                <w:b/>
                <w:bCs/>
                <w:color w:val="1B3A6B"/>
                <w:sz w:val="20"/>
                <w:szCs w:val="20"/>
              </w:rPr>
              <w:t xml:space="preserve">Client</w:t>
            </w:r>
          </w:p>
          <w:p>
            <w:pPr>
              <w:spacing w:before="0" w:after="0"/>
            </w:pPr>
            <w:r>
              <w:rPr>
                <w:rFonts w:ascii="Arial" w:cs="Arial" w:eastAsia="Arial" w:hAnsi="Arial"/>
                <w:color w:val="333333"/>
                <w:sz w:val="20"/>
                <w:szCs w:val="20"/>
              </w:rPr>
              <w:t xml:space="preserve">New Growth Innovation Network (NGIN)</w:t>
            </w:r>
          </w:p>
        </w:tc>
        <w:tc>
          <w:tcPr>
            <w:tcW w:type="dxa" w:w="4680"/>
            <w:tcBorders>
              <w:top w:val="none" w:color="FFFFFF" w:sz="0"/>
              <w:left w:val="none" w:color="FFFFFF" w:sz="0"/>
              <w:bottom w:val="none" w:color="FFFFFF" w:sz="0"/>
              <w:right w:val="none" w:color="FFFFFF" w:sz="0"/>
            </w:tcBorders>
            <w:shd w:fill="EDF4F2" w:val="clear"/>
            <w:tcMar>
              <w:top w:type="dxa" w:w="120"/>
              <w:left w:type="dxa" w:w="160"/>
              <w:bottom w:type="dxa" w:w="120"/>
              <w:right w:type="dxa" w:w="160"/>
            </w:tcMar>
          </w:tcPr>
          <w:p>
            <w:pPr>
              <w:spacing w:before="0" w:after="40"/>
            </w:pPr>
            <w:r>
              <w:rPr>
                <w:rFonts w:ascii="Arial" w:cs="Arial" w:eastAsia="Arial" w:hAnsi="Arial"/>
                <w:b/>
                <w:bCs/>
                <w:color w:val="1B3A6B"/>
                <w:sz w:val="20"/>
                <w:szCs w:val="20"/>
              </w:rPr>
              <w:t xml:space="preserve">Client Contact</w:t>
            </w:r>
          </w:p>
          <w:p>
            <w:pPr>
              <w:spacing w:before="0" w:after="0"/>
            </w:pPr>
            <w:r>
              <w:rPr>
                <w:rFonts w:ascii="Arial" w:cs="Arial" w:eastAsia="Arial" w:hAnsi="Arial"/>
                <w:color w:val="333333"/>
                <w:sz w:val="20"/>
                <w:szCs w:val="20"/>
              </w:rPr>
              <w:t xml:space="preserve">Taylor Dudley, Marketing &amp; Communications Manager</w:t>
            </w:r>
          </w:p>
        </w:tc>
      </w:tr>
      <w:tr>
        <w:tc>
          <w:tcPr>
            <w:tcW w:type="dxa" w:w="4680"/>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p>
            <w:pPr>
              <w:spacing w:before="0" w:after="40"/>
            </w:pPr>
            <w:r>
              <w:rPr>
                <w:rFonts w:ascii="Arial" w:cs="Arial" w:eastAsia="Arial" w:hAnsi="Arial"/>
                <w:b/>
                <w:bCs/>
                <w:color w:val="1B3A6B"/>
                <w:sz w:val="20"/>
                <w:szCs w:val="20"/>
              </w:rPr>
              <w:t xml:space="preserve">Platform</w:t>
            </w:r>
          </w:p>
          <w:p>
            <w:pPr>
              <w:spacing w:before="0" w:after="0"/>
            </w:pPr>
            <w:r>
              <w:rPr>
                <w:rFonts w:ascii="Arial" w:cs="Arial" w:eastAsia="Arial" w:hAnsi="Arial"/>
                <w:color w:val="333333"/>
                <w:sz w:val="20"/>
                <w:szCs w:val="20"/>
              </w:rPr>
              <w:t xml:space="preserve">Squarespace 7.1  ·  Subdomain: playbook.newgrowth.org</w:t>
            </w:r>
          </w:p>
        </w:tc>
        <w:tc>
          <w:tcPr>
            <w:tcW w:type="dxa" w:w="4680"/>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p>
            <w:pPr>
              <w:spacing w:before="0" w:after="40"/>
            </w:pPr>
            <w:r>
              <w:rPr>
                <w:rFonts w:ascii="Arial" w:cs="Arial" w:eastAsia="Arial" w:hAnsi="Arial"/>
                <w:b/>
                <w:bCs/>
                <w:color w:val="1B3A6B"/>
                <w:sz w:val="20"/>
                <w:szCs w:val="20"/>
              </w:rPr>
              <w:t xml:space="preserve">Total Investment</w:t>
            </w:r>
          </w:p>
          <w:p>
            <w:pPr>
              <w:spacing w:before="0" w:after="0"/>
            </w:pPr>
            <w:r>
              <w:rPr>
                <w:rFonts w:ascii="Arial" w:cs="Arial" w:eastAsia="Arial" w:hAnsi="Arial"/>
                <w:color w:val="333333"/>
                <w:sz w:val="20"/>
                <w:szCs w:val="20"/>
              </w:rPr>
              <w:t xml:space="preserve">$16,000  ·  Milestone-based billing (2 CFR §200.305)</w:t>
            </w:r>
          </w:p>
        </w:tc>
      </w:tr>
      <w:tr>
        <w:tc>
          <w:tcPr>
            <w:tcW w:type="dxa" w:w="4680"/>
            <w:tcBorders>
              <w:top w:val="none" w:color="FFFFFF" w:sz="0"/>
              <w:left w:val="none" w:color="FFFFFF" w:sz="0"/>
              <w:bottom w:val="none" w:color="FFFFFF" w:sz="0"/>
              <w:right w:val="none" w:color="FFFFFF" w:sz="0"/>
            </w:tcBorders>
            <w:shd w:fill="EDF4F2" w:val="clear"/>
            <w:tcMar>
              <w:top w:type="dxa" w:w="120"/>
              <w:left w:type="dxa" w:w="160"/>
              <w:bottom w:type="dxa" w:w="120"/>
              <w:right w:type="dxa" w:w="160"/>
            </w:tcMar>
          </w:tcPr>
          <w:p>
            <w:pPr>
              <w:spacing w:before="0" w:after="40"/>
            </w:pPr>
            <w:r>
              <w:rPr>
                <w:rFonts w:ascii="Arial" w:cs="Arial" w:eastAsia="Arial" w:hAnsi="Arial"/>
                <w:b/>
                <w:bCs/>
                <w:color w:val="1B3A6B"/>
                <w:sz w:val="20"/>
                <w:szCs w:val="20"/>
              </w:rPr>
              <w:t xml:space="preserve">Kickoff Date</w:t>
            </w:r>
          </w:p>
          <w:p>
            <w:pPr>
              <w:spacing w:before="0" w:after="0"/>
            </w:pPr>
            <w:r>
              <w:rPr>
                <w:rFonts w:ascii="Arial" w:cs="Arial" w:eastAsia="Arial" w:hAnsi="Arial"/>
                <w:color w:val="333333"/>
                <w:sz w:val="20"/>
                <w:szCs w:val="20"/>
              </w:rPr>
              <w:t xml:space="preserve">February 23, 2026</w:t>
            </w:r>
          </w:p>
        </w:tc>
        <w:tc>
          <w:tcPr>
            <w:tcW w:type="dxa" w:w="4680"/>
            <w:tcBorders>
              <w:top w:val="none" w:color="FFFFFF" w:sz="0"/>
              <w:left w:val="none" w:color="FFFFFF" w:sz="0"/>
              <w:bottom w:val="none" w:color="FFFFFF" w:sz="0"/>
              <w:right w:val="none" w:color="FFFFFF" w:sz="0"/>
            </w:tcBorders>
            <w:shd w:fill="EDF4F2" w:val="clear"/>
            <w:tcMar>
              <w:top w:type="dxa" w:w="120"/>
              <w:left w:type="dxa" w:w="160"/>
              <w:bottom w:type="dxa" w:w="120"/>
              <w:right w:type="dxa" w:w="160"/>
            </w:tcMar>
          </w:tcPr>
          <w:p>
            <w:pPr>
              <w:spacing w:before="0" w:after="40"/>
            </w:pPr>
            <w:r>
              <w:rPr>
                <w:rFonts w:ascii="Arial" w:cs="Arial" w:eastAsia="Arial" w:hAnsi="Arial"/>
                <w:b/>
                <w:bCs/>
                <w:color w:val="1B3A6B"/>
                <w:sz w:val="20"/>
                <w:szCs w:val="20"/>
              </w:rPr>
              <w:t xml:space="preserve">Go-Live Target</w:t>
            </w:r>
          </w:p>
          <w:p>
            <w:pPr>
              <w:spacing w:before="0" w:after="0"/>
            </w:pPr>
            <w:r>
              <w:rPr>
                <w:rFonts w:ascii="Arial" w:cs="Arial" w:eastAsia="Arial" w:hAnsi="Arial"/>
                <w:b/>
                <w:bCs/>
                <w:color w:val="2E7D6B"/>
                <w:sz w:val="20"/>
                <w:szCs w:val="20"/>
              </w:rPr>
              <w:t xml:space="preserve">Week of April 13, 2026</w:t>
            </w:r>
          </w:p>
        </w:tc>
      </w:tr>
      <w:tr>
        <w:tc>
          <w:tcPr>
            <w:tcW w:type="dxa" w:w="4680"/>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p>
            <w:pPr>
              <w:spacing w:before="0" w:after="40"/>
            </w:pPr>
            <w:r>
              <w:rPr>
                <w:rFonts w:ascii="Arial" w:cs="Arial" w:eastAsia="Arial" w:hAnsi="Arial"/>
                <w:b/>
                <w:bCs/>
                <w:color w:val="1B3A6B"/>
                <w:sz w:val="20"/>
                <w:szCs w:val="20"/>
              </w:rPr>
              <w:t xml:space="preserve">Site Scope</w:t>
            </w:r>
          </w:p>
          <w:p>
            <w:pPr>
              <w:spacing w:before="0" w:after="0"/>
            </w:pPr>
            <w:r>
              <w:rPr>
                <w:rFonts w:ascii="Arial" w:cs="Arial" w:eastAsia="Arial" w:hAnsi="Arial"/>
                <w:color w:val="333333"/>
                <w:sz w:val="20"/>
                <w:szCs w:val="20"/>
              </w:rPr>
              <w:t xml:space="preserve">5 static pages + 1 scalable case study template (~24+ instances) = 30–35 total pages</w:t>
            </w:r>
          </w:p>
        </w:tc>
        <w:tc>
          <w:tcPr>
            <w:tcW w:type="dxa" w:w="4680"/>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tcPr>
          <w:p>
            <w:pPr>
              <w:spacing w:before="0" w:after="40"/>
            </w:pPr>
            <w:r>
              <w:rPr>
                <w:rFonts w:ascii="Arial" w:cs="Arial" w:eastAsia="Arial" w:hAnsi="Arial"/>
                <w:b/>
                <w:bCs/>
                <w:color w:val="1B3A6B"/>
                <w:sz w:val="20"/>
                <w:szCs w:val="20"/>
              </w:rPr>
              <w:t xml:space="preserve">Content</w:t>
            </w:r>
          </w:p>
          <w:p>
            <w:pPr>
              <w:spacing w:before="0" w:after="0"/>
            </w:pPr>
            <w:r>
              <w:rPr>
                <w:rFonts w:ascii="Arial" w:cs="Arial" w:eastAsia="Arial" w:hAnsi="Arial"/>
                <w:color w:val="333333"/>
                <w:sz w:val="20"/>
                <w:szCs w:val="20"/>
              </w:rPr>
              <w:t xml:space="preserve">6 city case studies, 15 tools/templates, 4-part framework. 1,418 paragraphs of finalized content in the Playbook doc.</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24"/>
              <w:bottom w:val="single" w:color="D97706" w:sz="4"/>
              <w:right w:val="single" w:color="D97706" w:sz="4"/>
            </w:tcBorders>
            <w:shd w:fill="FFFBF0" w:val="clear"/>
            <w:tcMar>
              <w:top w:type="dxa" w:w="140"/>
              <w:left w:type="dxa" w:w="200"/>
              <w:bottom w:type="dxa" w:w="140"/>
              <w:right w:type="dxa" w:w="200"/>
            </w:tcMar>
          </w:tcPr>
          <w:p>
            <w:pPr>
              <w:spacing w:before="0" w:after="60"/>
            </w:pPr>
            <w:r>
              <w:rPr>
                <w:rFonts w:ascii="Arial" w:cs="Arial" w:eastAsia="Arial" w:hAnsi="Arial"/>
                <w:b/>
                <w:bCs/>
                <w:color w:val="D97706"/>
                <w:sz w:val="22"/>
                <w:szCs w:val="22"/>
              </w:rPr>
              <w:t xml:space="preserve">⚠️  Open Decision — Requires Resolution Today</w:t>
            </w:r>
          </w:p>
          <w:p>
            <w:pPr>
              <w:spacing w:before="0" w:after="0"/>
            </w:pPr>
            <w:r>
              <w:rPr>
                <w:rFonts w:ascii="Arial" w:cs="Arial" w:eastAsia="Arial" w:hAnsi="Arial"/>
                <w:color w:val="555533"/>
                <w:sz w:val="20"/>
                <w:szCs w:val="20"/>
              </w:rPr>
              <w:t xml:space="preserve">Taylor Dudley's Feb 4 email confirmed the go-live target of the week of April 13 but noted the team was still deciding between building a standalone microsite (playbook.newgrowth.org) vs. integrating the Playbook into the existing newgrowth.org site. This decision directly impacts platform setup, URL structure, design system, and Phase 1 work. It must be resolved at today’s kickoff before any work begins.</w:t>
            </w:r>
          </w:p>
        </w:tc>
      </w:tr>
    </w:tbl>
    <w:p>
      <w:r>
        <w:br w:type="page"/>
      </w:r>
    </w:p>
    <w:p>
      <w:pPr>
        <w:spacing w:before="360" w:after="180"/>
      </w:pPr>
      <w:r>
        <w:rPr>
          <w:rFonts w:ascii="Arial" w:cs="Arial" w:eastAsia="Arial" w:hAnsi="Arial"/>
          <w:b/>
          <w:bCs/>
          <w:color w:val="1B3A6B"/>
          <w:sz w:val="36"/>
          <w:szCs w:val="36"/>
        </w:rPr>
        <w:t xml:space="preserve">2. Updated Project Timeline</w:t>
      </w:r>
    </w:p>
    <w:p>
      <w:pPr>
        <w:spacing w:before="60" w:after="100"/>
      </w:pPr>
      <w:r>
        <w:rPr>
          <w:rFonts w:ascii="Arial" w:cs="Arial" w:eastAsia="Arial" w:hAnsi="Arial"/>
          <w:color w:val="222222"/>
          <w:sz w:val="22"/>
          <w:szCs w:val="22"/>
        </w:rPr>
        <w:t xml:space="preserve">The original proposal was scoped around a December 2025 start with a holiday break. With today, February 23, as the new kickoff and the week of April 13 as the go-live target, the project compresses to 7 working weeks. The phase structure and deliverables remain unchanged; only the dates have been adjusted.</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W w:type="dxa" w:w="320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Phase &amp; Dates</w:t>
            </w:r>
          </w:p>
        </w:tc>
        <w:tc>
          <w:tcPr>
            <w:tcW w:type="dxa" w:w="436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Key Deliverables</w:t>
            </w:r>
          </w:p>
        </w:tc>
        <w:tc>
          <w:tcPr>
            <w:tcW w:type="dxa" w:w="1800"/>
            <w:tcBorders>
              <w:top w:val="none" w:color="FFFFFF" w:sz="0"/>
              <w:left w:val="none" w:color="FFFFFF" w:sz="0"/>
              <w:bottom w:val="none" w:color="FFFFFF" w:sz="0"/>
              <w:right w:val="none" w:color="FFFFFF" w:sz="0"/>
            </w:tcBorders>
            <w:shd w:fill="1B3A6B"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Payment</w:t>
            </w:r>
          </w:p>
        </w:tc>
      </w:tr>
      <w:tr>
        <w:tc>
          <w:tcPr>
            <w:tcW w:type="dxa" w:w="3200"/>
            <w:tcBorders>
              <w:top w:val="single" w:color="DDDDDD" w:sz="4"/>
              <w:left w:val="single" w:color="DDDDDD" w:sz="4"/>
              <w:bottom w:val="single" w:color="DDDDDD" w:sz="4"/>
              <w:right w:val="single" w:color="DDDDDD" w:sz="4"/>
            </w:tcBorders>
            <w:shd w:fill="F3F6F5" w:val="clear"/>
            <w:tcMar>
              <w:top w:type="dxa" w:w="100"/>
              <w:left w:type="dxa" w:w="160"/>
              <w:bottom w:type="dxa" w:w="100"/>
              <w:right w:type="dxa" w:w="160"/>
            </w:tcMar>
            <w:vAlign w:val="top"/>
          </w:tcPr>
          <w:p>
            <w:pPr>
              <w:spacing w:before="0" w:after="60"/>
            </w:pPr>
            <w:r>
              <w:rPr>
                <w:rFonts w:ascii="Arial" w:cs="Arial" w:eastAsia="Arial" w:hAnsi="Arial"/>
                <w:b/>
                <w:bCs/>
                <w:color w:val="1B3A6B"/>
                <w:sz w:val="20"/>
                <w:szCs w:val="20"/>
              </w:rPr>
              <w:t xml:space="preserve">Phase 1 — Project Initiation &amp; Setup</w:t>
            </w:r>
          </w:p>
          <w:p>
            <w:pPr>
              <w:spacing w:before="0" w:after="30"/>
            </w:pPr>
            <w:r>
              <w:rPr>
                <w:rFonts w:ascii="Arial" w:cs="Arial" w:eastAsia="Arial" w:hAnsi="Arial"/>
                <w:b/>
                <w:bCs/>
                <w:color w:val="6B7280"/>
                <w:sz w:val="20"/>
                <w:szCs w:val="20"/>
              </w:rPr>
              <w:t xml:space="preserve">Feb 23 – Feb 28</w:t>
            </w:r>
          </w:p>
          <w:p>
            <w:pPr>
              <w:spacing w:before="0" w:after="0"/>
            </w:pPr>
            <w:r>
              <w:rPr>
                <w:rFonts w:ascii="Arial" w:cs="Arial" w:eastAsia="Arial" w:hAnsi="Arial"/>
                <w:color w:val="6B7280"/>
                <w:sz w:val="18"/>
                <w:szCs w:val="18"/>
              </w:rPr>
              <w:t xml:space="preserve">Week 1</w:t>
            </w:r>
          </w:p>
        </w:tc>
        <w:tc>
          <w:tcPr>
            <w:tcW w:type="dxa" w:w="4360"/>
            <w:tcBorders>
              <w:top w:val="single" w:color="DDDDDD" w:sz="4"/>
              <w:left w:val="single" w:color="DDDDDD" w:sz="4"/>
              <w:bottom w:val="single" w:color="DDDDDD" w:sz="4"/>
              <w:right w:val="single" w:color="DDDDDD" w:sz="4"/>
            </w:tcBorders>
            <w:shd w:fill="F3F6F5" w:val="clear"/>
            <w:tcMar>
              <w:top w:type="dxa" w:w="100"/>
              <w:left w:type="dxa" w:w="160"/>
              <w:bottom w:type="dxa" w:w="100"/>
              <w:right w:type="dxa" w:w="160"/>
            </w:tcMar>
            <w:vAlign w:val="top"/>
          </w:tcPr>
          <w:p>
            <w:pPr>
              <w:spacing w:before="30" w:after="30"/>
            </w:pPr>
            <w:r>
              <w:rPr>
                <w:rFonts w:ascii="Arial" w:cs="Arial" w:eastAsia="Arial" w:hAnsi="Arial"/>
                <w:color w:val="333333"/>
                <w:sz w:val="20"/>
                <w:szCs w:val="20"/>
              </w:rPr>
              <w:t xml:space="preserve">• Kickoff meeting &amp; project alignment</w:t>
            </w:r>
          </w:p>
          <w:p>
            <w:pPr>
              <w:spacing w:before="30" w:after="30"/>
            </w:pPr>
            <w:r>
              <w:rPr>
                <w:rFonts w:ascii="Arial" w:cs="Arial" w:eastAsia="Arial" w:hAnsi="Arial"/>
                <w:color w:val="333333"/>
                <w:sz w:val="20"/>
                <w:szCs w:val="20"/>
              </w:rPr>
              <w:t xml:space="preserve">• Review all content assets from client</w:t>
            </w:r>
          </w:p>
          <w:p>
            <w:pPr>
              <w:spacing w:before="30" w:after="30"/>
            </w:pPr>
            <w:r>
              <w:rPr>
                <w:rFonts w:ascii="Arial" w:cs="Arial" w:eastAsia="Arial" w:hAnsi="Arial"/>
                <w:color w:val="333333"/>
                <w:sz w:val="20"/>
                <w:szCs w:val="20"/>
              </w:rPr>
              <w:t xml:space="preserve">• Squarespace environment &amp; file structure setup</w:t>
            </w:r>
          </w:p>
          <w:p>
            <w:pPr>
              <w:spacing w:before="30" w:after="30"/>
            </w:pPr>
            <w:r>
              <w:rPr>
                <w:rFonts w:ascii="Arial" w:cs="Arial" w:eastAsia="Arial" w:hAnsi="Arial"/>
                <w:color w:val="333333"/>
                <w:sz w:val="20"/>
                <w:szCs w:val="20"/>
              </w:rPr>
              <w:t xml:space="preserve">• Sitemap draft &amp; content responsibility plan</w:t>
            </w:r>
          </w:p>
          <w:p>
            <w:pPr>
              <w:spacing w:before="30" w:after="30"/>
            </w:pPr>
            <w:r>
              <w:rPr>
                <w:rFonts w:ascii="Arial" w:cs="Arial" w:eastAsia="Arial" w:hAnsi="Arial"/>
                <w:color w:val="333333"/>
                <w:sz w:val="20"/>
                <w:szCs w:val="20"/>
              </w:rPr>
              <w:t xml:space="preserve">• Project management workspace &amp; finalized timeline</w:t>
            </w:r>
          </w:p>
        </w:tc>
        <w:tc>
          <w:tcPr>
            <w:tcW w:type="dxa" w:w="1800"/>
            <w:tcBorders>
              <w:top w:val="single" w:color="DDDDDD" w:sz="4"/>
              <w:left w:val="single" w:color="DDDDDD" w:sz="4"/>
              <w:bottom w:val="single" w:color="DDDDDD" w:sz="4"/>
              <w:right w:val="single" w:color="DDDDDD" w:sz="4"/>
            </w:tcBorders>
            <w:shd w:fill="F3F6F5" w:val="clear"/>
            <w:tcMar>
              <w:top w:type="dxa" w:w="100"/>
              <w:left w:type="dxa" w:w="160"/>
              <w:bottom w:type="dxa" w:w="100"/>
              <w:right w:type="dxa" w:w="160"/>
            </w:tcMar>
            <w:vAlign w:val="top"/>
          </w:tcPr>
          <w:p>
            <w:pPr>
              <w:spacing w:before="0" w:after="0"/>
            </w:pPr>
            <w:r>
              <w:rPr>
                <w:rFonts w:ascii="Arial" w:cs="Arial" w:eastAsia="Arial" w:hAnsi="Arial"/>
                <w:b/>
                <w:bCs/>
                <w:color w:val="2E7D6B"/>
                <w:sz w:val="20"/>
                <w:szCs w:val="20"/>
              </w:rPr>
              <w:t xml:space="preserve">$4,000 (25%)</w:t>
            </w:r>
          </w:p>
        </w:tc>
      </w:tr>
      <w:tr>
        <w:tc>
          <w:tcPr>
            <w:tcW w:type="dxa" w:w="32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pPr>
              <w:spacing w:before="0" w:after="60"/>
            </w:pPr>
            <w:r>
              <w:rPr>
                <w:rFonts w:ascii="Arial" w:cs="Arial" w:eastAsia="Arial" w:hAnsi="Arial"/>
                <w:b/>
                <w:bCs/>
                <w:color w:val="2E7D6B"/>
                <w:sz w:val="20"/>
                <w:szCs w:val="20"/>
              </w:rPr>
              <w:t xml:space="preserve">Phase 2 — Design &amp; Prototyping</w:t>
            </w:r>
          </w:p>
          <w:p>
            <w:pPr>
              <w:spacing w:before="0" w:after="30"/>
            </w:pPr>
            <w:r>
              <w:rPr>
                <w:rFonts w:ascii="Arial" w:cs="Arial" w:eastAsia="Arial" w:hAnsi="Arial"/>
                <w:b/>
                <w:bCs/>
                <w:color w:val="6B7280"/>
                <w:sz w:val="20"/>
                <w:szCs w:val="20"/>
              </w:rPr>
              <w:t xml:space="preserve">Mar 2 – Mar 13</w:t>
            </w:r>
          </w:p>
          <w:p>
            <w:pPr>
              <w:spacing w:before="0" w:after="0"/>
            </w:pPr>
            <w:r>
              <w:rPr>
                <w:rFonts w:ascii="Arial" w:cs="Arial" w:eastAsia="Arial" w:hAnsi="Arial"/>
                <w:color w:val="6B7280"/>
                <w:sz w:val="18"/>
                <w:szCs w:val="18"/>
              </w:rPr>
              <w:t xml:space="preserve">Weeks 2–3</w:t>
            </w:r>
          </w:p>
        </w:tc>
        <w:tc>
          <w:tcPr>
            <w:tcW w:type="dxa" w:w="43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pPr>
              <w:spacing w:before="30" w:after="30"/>
            </w:pPr>
            <w:r>
              <w:rPr>
                <w:rFonts w:ascii="Arial" w:cs="Arial" w:eastAsia="Arial" w:hAnsi="Arial"/>
                <w:color w:val="333333"/>
                <w:sz w:val="20"/>
                <w:szCs w:val="20"/>
              </w:rPr>
              <w:t xml:space="preserve">• Layout development in Squarespace 7.1</w:t>
            </w:r>
          </w:p>
          <w:p>
            <w:pPr>
              <w:spacing w:before="30" w:after="30"/>
            </w:pPr>
            <w:r>
              <w:rPr>
                <w:rFonts w:ascii="Arial" w:cs="Arial" w:eastAsia="Arial" w:hAnsi="Arial"/>
                <w:color w:val="333333"/>
                <w:sz w:val="20"/>
                <w:szCs w:val="20"/>
              </w:rPr>
              <w:t xml:space="preserve">• NGIN branding &amp; Playbook visual system applied</w:t>
            </w:r>
          </w:p>
          <w:p>
            <w:pPr>
              <w:spacing w:before="30" w:after="30"/>
            </w:pPr>
            <w:r>
              <w:rPr>
                <w:rFonts w:ascii="Arial" w:cs="Arial" w:eastAsia="Arial" w:hAnsi="Arial"/>
                <w:color w:val="333333"/>
                <w:sz w:val="20"/>
                <w:szCs w:val="20"/>
              </w:rPr>
              <w:t xml:space="preserve">• Placeholder content built for review</w:t>
            </w:r>
          </w:p>
          <w:p>
            <w:pPr>
              <w:spacing w:before="30" w:after="30"/>
            </w:pPr>
            <w:r>
              <w:rPr>
                <w:rFonts w:ascii="Arial" w:cs="Arial" w:eastAsia="Arial" w:hAnsi="Arial"/>
                <w:color w:val="333333"/>
                <w:sz w:val="20"/>
                <w:szCs w:val="20"/>
              </w:rPr>
              <w:t xml:space="preserve">• First round of design feedback &amp; revisions</w:t>
            </w:r>
          </w:p>
        </w:tc>
        <w:tc>
          <w:tcPr>
            <w:tcW w:type="dxa" w:w="18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pPr>
              <w:spacing w:before="0" w:after="0"/>
            </w:pPr>
            <w:r>
              <w:rPr>
                <w:rFonts w:ascii="Arial" w:cs="Arial" w:eastAsia="Arial" w:hAnsi="Arial"/>
                <w:b/>
                <w:bCs/>
                <w:color w:val="2E7D6B"/>
                <w:sz w:val="20"/>
                <w:szCs w:val="20"/>
              </w:rPr>
              <w:t xml:space="preserve">$4,000 (25%)</w:t>
            </w:r>
          </w:p>
        </w:tc>
      </w:tr>
      <w:tr>
        <w:tc>
          <w:tcPr>
            <w:tcW w:type="dxa" w:w="3200"/>
            <w:tcBorders>
              <w:top w:val="single" w:color="DDDDDD" w:sz="4"/>
              <w:left w:val="single" w:color="DDDDDD" w:sz="4"/>
              <w:bottom w:val="single" w:color="DDDDDD" w:sz="4"/>
              <w:right w:val="single" w:color="DDDDDD" w:sz="4"/>
            </w:tcBorders>
            <w:shd w:fill="F3F6F5" w:val="clear"/>
            <w:tcMar>
              <w:top w:type="dxa" w:w="100"/>
              <w:left w:type="dxa" w:w="160"/>
              <w:bottom w:type="dxa" w:w="100"/>
              <w:right w:type="dxa" w:w="160"/>
            </w:tcMar>
            <w:vAlign w:val="top"/>
          </w:tcPr>
          <w:p>
            <w:pPr>
              <w:spacing w:before="0" w:after="60"/>
            </w:pPr>
            <w:r>
              <w:rPr>
                <w:rFonts w:ascii="Arial" w:cs="Arial" w:eastAsia="Arial" w:hAnsi="Arial"/>
                <w:b/>
                <w:bCs/>
                <w:color w:val="1B3A6B"/>
                <w:sz w:val="20"/>
                <w:szCs w:val="20"/>
              </w:rPr>
              <w:t xml:space="preserve">Phase 3 — Development &amp; Build</w:t>
            </w:r>
          </w:p>
          <w:p>
            <w:pPr>
              <w:spacing w:before="0" w:after="30"/>
            </w:pPr>
            <w:r>
              <w:rPr>
                <w:rFonts w:ascii="Arial" w:cs="Arial" w:eastAsia="Arial" w:hAnsi="Arial"/>
                <w:b/>
                <w:bCs/>
                <w:color w:val="6B7280"/>
                <w:sz w:val="20"/>
                <w:szCs w:val="20"/>
              </w:rPr>
              <w:t xml:space="preserve">Mar 16 – Mar 28</w:t>
            </w:r>
          </w:p>
          <w:p>
            <w:pPr>
              <w:spacing w:before="0" w:after="0"/>
            </w:pPr>
            <w:r>
              <w:rPr>
                <w:rFonts w:ascii="Arial" w:cs="Arial" w:eastAsia="Arial" w:hAnsi="Arial"/>
                <w:color w:val="6B7280"/>
                <w:sz w:val="18"/>
                <w:szCs w:val="18"/>
              </w:rPr>
              <w:t xml:space="preserve">Weeks 4–5</w:t>
            </w:r>
          </w:p>
        </w:tc>
        <w:tc>
          <w:tcPr>
            <w:tcW w:type="dxa" w:w="4360"/>
            <w:tcBorders>
              <w:top w:val="single" w:color="DDDDDD" w:sz="4"/>
              <w:left w:val="single" w:color="DDDDDD" w:sz="4"/>
              <w:bottom w:val="single" w:color="DDDDDD" w:sz="4"/>
              <w:right w:val="single" w:color="DDDDDD" w:sz="4"/>
            </w:tcBorders>
            <w:shd w:fill="F3F6F5" w:val="clear"/>
            <w:tcMar>
              <w:top w:type="dxa" w:w="100"/>
              <w:left w:type="dxa" w:w="160"/>
              <w:bottom w:type="dxa" w:w="100"/>
              <w:right w:type="dxa" w:w="160"/>
            </w:tcMar>
            <w:vAlign w:val="top"/>
          </w:tcPr>
          <w:p>
            <w:pPr>
              <w:spacing w:before="30" w:after="30"/>
            </w:pPr>
            <w:r>
              <w:rPr>
                <w:rFonts w:ascii="Arial" w:cs="Arial" w:eastAsia="Arial" w:hAnsi="Arial"/>
                <w:color w:val="333333"/>
                <w:sz w:val="20"/>
                <w:szCs w:val="20"/>
              </w:rPr>
              <w:t xml:space="preserve">• Core templates &amp; static pages built</w:t>
            </w:r>
          </w:p>
          <w:p>
            <w:pPr>
              <w:spacing w:before="30" w:after="30"/>
            </w:pPr>
            <w:r>
              <w:rPr>
                <w:rFonts w:ascii="Arial" w:cs="Arial" w:eastAsia="Arial" w:hAnsi="Arial"/>
                <w:color w:val="333333"/>
                <w:sz w:val="20"/>
                <w:szCs w:val="20"/>
              </w:rPr>
              <w:t xml:space="preserve">• Case Study Library, Resources Bank, Cities Index configured</w:t>
            </w:r>
          </w:p>
          <w:p>
            <w:pPr>
              <w:spacing w:before="30" w:after="30"/>
            </w:pPr>
            <w:r>
              <w:rPr>
                <w:rFonts w:ascii="Arial" w:cs="Arial" w:eastAsia="Arial" w:hAnsi="Arial"/>
                <w:color w:val="333333"/>
                <w:sz w:val="20"/>
                <w:szCs w:val="20"/>
              </w:rPr>
              <w:t xml:space="preserve">• Scalable templates for all 6+ case studies created</w:t>
            </w:r>
          </w:p>
          <w:p>
            <w:pPr>
              <w:spacing w:before="30" w:after="30"/>
            </w:pPr>
            <w:r>
              <w:rPr>
                <w:rFonts w:ascii="Arial" w:cs="Arial" w:eastAsia="Arial" w:hAnsi="Arial"/>
                <w:color w:val="333333"/>
                <w:sz w:val="20"/>
                <w:szCs w:val="20"/>
              </w:rPr>
              <w:t xml:space="preserve">• Content upload begins (tools, resources, framework)</w:t>
            </w:r>
          </w:p>
        </w:tc>
        <w:tc>
          <w:tcPr>
            <w:tcW w:type="dxa" w:w="1800"/>
            <w:tcBorders>
              <w:top w:val="single" w:color="DDDDDD" w:sz="4"/>
              <w:left w:val="single" w:color="DDDDDD" w:sz="4"/>
              <w:bottom w:val="single" w:color="DDDDDD" w:sz="4"/>
              <w:right w:val="single" w:color="DDDDDD" w:sz="4"/>
            </w:tcBorders>
            <w:shd w:fill="F3F6F5" w:val="clear"/>
            <w:tcMar>
              <w:top w:type="dxa" w:w="100"/>
              <w:left w:type="dxa" w:w="160"/>
              <w:bottom w:type="dxa" w:w="100"/>
              <w:right w:type="dxa" w:w="160"/>
            </w:tcMar>
            <w:vAlign w:val="top"/>
          </w:tcPr>
          <w:p>
            <w:pPr>
              <w:spacing w:before="0" w:after="0"/>
            </w:pPr>
            <w:r>
              <w:rPr>
                <w:rFonts w:ascii="Arial" w:cs="Arial" w:eastAsia="Arial" w:hAnsi="Arial"/>
                <w:b/>
                <w:bCs/>
                <w:color w:val="2E7D6B"/>
                <w:sz w:val="20"/>
                <w:szCs w:val="20"/>
              </w:rPr>
              <w:t xml:space="preserve">$4,000 (25%)</w:t>
            </w:r>
          </w:p>
        </w:tc>
      </w:tr>
      <w:tr>
        <w:tc>
          <w:tcPr>
            <w:tcW w:type="dxa" w:w="32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pPr>
              <w:spacing w:before="0" w:after="60"/>
            </w:pPr>
            <w:r>
              <w:rPr>
                <w:rFonts w:ascii="Arial" w:cs="Arial" w:eastAsia="Arial" w:hAnsi="Arial"/>
                <w:b/>
                <w:bCs/>
                <w:color w:val="2E7D6B"/>
                <w:sz w:val="20"/>
                <w:szCs w:val="20"/>
              </w:rPr>
              <w:t xml:space="preserve">Phase 4 — Content Integration &amp; Revisions</w:t>
            </w:r>
          </w:p>
          <w:p>
            <w:pPr>
              <w:spacing w:before="0" w:after="30"/>
            </w:pPr>
            <w:r>
              <w:rPr>
                <w:rFonts w:ascii="Arial" w:cs="Arial" w:eastAsia="Arial" w:hAnsi="Arial"/>
                <w:b/>
                <w:bCs/>
                <w:color w:val="6B7280"/>
                <w:sz w:val="20"/>
                <w:szCs w:val="20"/>
              </w:rPr>
              <w:t xml:space="preserve">Mar 30 – Apr 4</w:t>
            </w:r>
          </w:p>
          <w:p>
            <w:pPr>
              <w:spacing w:before="0" w:after="0"/>
            </w:pPr>
            <w:r>
              <w:rPr>
                <w:rFonts w:ascii="Arial" w:cs="Arial" w:eastAsia="Arial" w:hAnsi="Arial"/>
                <w:color w:val="6B7280"/>
                <w:sz w:val="18"/>
                <w:szCs w:val="18"/>
              </w:rPr>
              <w:t xml:space="preserve">Week 6</w:t>
            </w:r>
          </w:p>
        </w:tc>
        <w:tc>
          <w:tcPr>
            <w:tcW w:type="dxa" w:w="43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pPr>
              <w:spacing w:before="30" w:after="30"/>
            </w:pPr>
            <w:r>
              <w:rPr>
                <w:rFonts w:ascii="Arial" w:cs="Arial" w:eastAsia="Arial" w:hAnsi="Arial"/>
                <w:color w:val="333333"/>
                <w:sz w:val="20"/>
                <w:szCs w:val="20"/>
              </w:rPr>
              <w:t xml:space="preserve">• Upload &amp; formatting of all finalized content</w:t>
            </w:r>
          </w:p>
          <w:p>
            <w:pPr>
              <w:spacing w:before="30" w:after="30"/>
            </w:pPr>
            <w:r>
              <w:rPr>
                <w:rFonts w:ascii="Arial" w:cs="Arial" w:eastAsia="Arial" w:hAnsi="Arial"/>
                <w:color w:val="333333"/>
                <w:sz w:val="20"/>
                <w:szCs w:val="20"/>
              </w:rPr>
              <w:t xml:space="preserve">• Optimization for clarity, accessibility &amp; searchability</w:t>
            </w:r>
          </w:p>
          <w:p>
            <w:pPr>
              <w:spacing w:before="30" w:after="30"/>
            </w:pPr>
            <w:r>
              <w:rPr>
                <w:rFonts w:ascii="Arial" w:cs="Arial" w:eastAsia="Arial" w:hAnsi="Arial"/>
                <w:color w:val="333333"/>
                <w:sz w:val="20"/>
                <w:szCs w:val="20"/>
              </w:rPr>
              <w:t xml:space="preserve">• Structured revision rounds completed</w:t>
            </w:r>
          </w:p>
        </w:tc>
        <w:tc>
          <w:tcPr>
            <w:tcW w:type="dxa" w:w="18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pPr>
              <w:spacing w:before="0" w:after="0"/>
            </w:pPr>
            <w:r>
              <w:rPr>
                <w:rFonts w:ascii="Arial" w:cs="Arial" w:eastAsia="Arial" w:hAnsi="Arial"/>
                <w:b/>
                <w:bCs/>
                <w:color w:val="2E7D6B"/>
                <w:sz w:val="20"/>
                <w:szCs w:val="20"/>
              </w:rPr>
              <w:t xml:space="preserve">$2,000 (12.5%)</w:t>
            </w:r>
          </w:p>
        </w:tc>
      </w:tr>
      <w:tr>
        <w:tc>
          <w:tcPr>
            <w:tcW w:type="dxa" w:w="3200"/>
            <w:tcBorders>
              <w:top w:val="single" w:color="DDDDDD" w:sz="4"/>
              <w:left w:val="single" w:color="DDDDDD" w:sz="4"/>
              <w:bottom w:val="single" w:color="DDDDDD" w:sz="4"/>
              <w:right w:val="single" w:color="DDDDDD" w:sz="4"/>
            </w:tcBorders>
            <w:shd w:fill="F3F6F5" w:val="clear"/>
            <w:tcMar>
              <w:top w:type="dxa" w:w="100"/>
              <w:left w:type="dxa" w:w="160"/>
              <w:bottom w:type="dxa" w:w="100"/>
              <w:right w:type="dxa" w:w="160"/>
            </w:tcMar>
            <w:vAlign w:val="top"/>
          </w:tcPr>
          <w:p>
            <w:pPr>
              <w:spacing w:before="0" w:after="60"/>
            </w:pPr>
            <w:r>
              <w:rPr>
                <w:rFonts w:ascii="Arial" w:cs="Arial" w:eastAsia="Arial" w:hAnsi="Arial"/>
                <w:b/>
                <w:bCs/>
                <w:color w:val="D97706"/>
                <w:sz w:val="20"/>
                <w:szCs w:val="20"/>
              </w:rPr>
              <w:t xml:space="preserve">Phase 5 — Testing &amp; Launch</w:t>
            </w:r>
          </w:p>
          <w:p>
            <w:pPr>
              <w:spacing w:before="0" w:after="30"/>
            </w:pPr>
            <w:r>
              <w:rPr>
                <w:rFonts w:ascii="Arial" w:cs="Arial" w:eastAsia="Arial" w:hAnsi="Arial"/>
                <w:b/>
                <w:bCs/>
                <w:color w:val="6B7280"/>
                <w:sz w:val="20"/>
                <w:szCs w:val="20"/>
              </w:rPr>
              <w:t xml:space="preserve">Apr 7 – Apr 13</w:t>
            </w:r>
          </w:p>
          <w:p>
            <w:pPr>
              <w:spacing w:before="0" w:after="0"/>
            </w:pPr>
            <w:r>
              <w:rPr>
                <w:rFonts w:ascii="Arial" w:cs="Arial" w:eastAsia="Arial" w:hAnsi="Arial"/>
                <w:color w:val="6B7280"/>
                <w:sz w:val="18"/>
                <w:szCs w:val="18"/>
              </w:rPr>
              <w:t xml:space="preserve">Week 7</w:t>
            </w:r>
          </w:p>
        </w:tc>
        <w:tc>
          <w:tcPr>
            <w:tcW w:type="dxa" w:w="4360"/>
            <w:tcBorders>
              <w:top w:val="single" w:color="DDDDDD" w:sz="4"/>
              <w:left w:val="single" w:color="DDDDDD" w:sz="4"/>
              <w:bottom w:val="single" w:color="DDDDDD" w:sz="4"/>
              <w:right w:val="single" w:color="DDDDDD" w:sz="4"/>
            </w:tcBorders>
            <w:shd w:fill="F3F6F5" w:val="clear"/>
            <w:tcMar>
              <w:top w:type="dxa" w:w="100"/>
              <w:left w:type="dxa" w:w="160"/>
              <w:bottom w:type="dxa" w:w="100"/>
              <w:right w:type="dxa" w:w="160"/>
            </w:tcMar>
            <w:vAlign w:val="top"/>
          </w:tcPr>
          <w:p>
            <w:pPr>
              <w:spacing w:before="30" w:after="30"/>
            </w:pPr>
            <w:r>
              <w:rPr>
                <w:rFonts w:ascii="Arial" w:cs="Arial" w:eastAsia="Arial" w:hAnsi="Arial"/>
                <w:color w:val="333333"/>
                <w:sz w:val="20"/>
                <w:szCs w:val="20"/>
              </w:rPr>
              <w:t xml:space="preserve">• QA testing across devices &amp; browsers</w:t>
            </w:r>
          </w:p>
          <w:p>
            <w:pPr>
              <w:spacing w:before="30" w:after="30"/>
            </w:pPr>
            <w:r>
              <w:rPr>
                <w:rFonts w:ascii="Arial" w:cs="Arial" w:eastAsia="Arial" w:hAnsi="Arial"/>
                <w:color w:val="333333"/>
                <w:sz w:val="20"/>
                <w:szCs w:val="20"/>
              </w:rPr>
              <w:t xml:space="preserve">• SEO setup (titles, alt text, URL structure)</w:t>
            </w:r>
          </w:p>
          <w:p>
            <w:pPr>
              <w:spacing w:before="30" w:after="30"/>
            </w:pPr>
            <w:r>
              <w:rPr>
                <w:rFonts w:ascii="Arial" w:cs="Arial" w:eastAsia="Arial" w:hAnsi="Arial"/>
                <w:color w:val="333333"/>
                <w:sz w:val="20"/>
                <w:szCs w:val="20"/>
              </w:rPr>
              <w:t xml:space="preserve">• Subdomain integration &amp; go-live</w:t>
            </w:r>
          </w:p>
          <w:p>
            <w:pPr>
              <w:spacing w:before="30" w:after="30"/>
            </w:pPr>
            <w:r>
              <w:rPr>
                <w:rFonts w:ascii="Arial" w:cs="Arial" w:eastAsia="Arial" w:hAnsi="Arial"/>
                <w:color w:val="333333"/>
                <w:sz w:val="20"/>
                <w:szCs w:val="20"/>
              </w:rPr>
              <w:t xml:space="preserve">• Two-week post-launch support window</w:t>
            </w:r>
          </w:p>
        </w:tc>
        <w:tc>
          <w:tcPr>
            <w:tcW w:type="dxa" w:w="1800"/>
            <w:tcBorders>
              <w:top w:val="single" w:color="DDDDDD" w:sz="4"/>
              <w:left w:val="single" w:color="DDDDDD" w:sz="4"/>
              <w:bottom w:val="single" w:color="DDDDDD" w:sz="4"/>
              <w:right w:val="single" w:color="DDDDDD" w:sz="4"/>
            </w:tcBorders>
            <w:shd w:fill="F3F6F5" w:val="clear"/>
            <w:tcMar>
              <w:top w:type="dxa" w:w="100"/>
              <w:left w:type="dxa" w:w="160"/>
              <w:bottom w:type="dxa" w:w="100"/>
              <w:right w:type="dxa" w:w="160"/>
            </w:tcMar>
            <w:vAlign w:val="top"/>
          </w:tcPr>
          <w:p>
            <w:pPr>
              <w:spacing w:before="0" w:after="0"/>
            </w:pPr>
            <w:r>
              <w:rPr>
                <w:rFonts w:ascii="Arial" w:cs="Arial" w:eastAsia="Arial" w:hAnsi="Arial"/>
                <w:b/>
                <w:bCs/>
                <w:color w:val="2E7D6B"/>
                <w:sz w:val="20"/>
                <w:szCs w:val="20"/>
              </w:rPr>
              <w:t xml:space="preserve">$2,000 (12.5%)</w:t>
            </w:r>
          </w:p>
        </w:tc>
      </w:tr>
      <w:tr>
        <w:tc>
          <w:tcPr>
            <w:tcW w:type="dxa" w:w="3200"/>
            <w:tcBorders>
              <w:top w:val="single" w:color="1B3A6B" w:sz="4"/>
              <w:left w:val="single" w:color="1B3A6B" w:sz="4"/>
              <w:bottom w:val="single" w:color="1B3A6B" w:sz="4"/>
              <w:right w:val="single" w:color="1B3A6B" w:sz="4"/>
            </w:tcBorders>
            <w:shd w:fill="EDF4F2" w:val="clear"/>
            <w:tcMar>
              <w:top w:type="dxa" w:w="100"/>
              <w:left w:type="dxa" w:w="160"/>
              <w:bottom w:type="dxa" w:w="100"/>
              <w:right w:type="dxa" w:w="160"/>
            </w:tcMar>
          </w:tcPr>
          <w:p>
            <w:pPr>
              <w:spacing w:before="0" w:after="0"/>
            </w:pPr>
            <w:r>
              <w:rPr>
                <w:rFonts w:ascii="Arial" w:cs="Arial" w:eastAsia="Arial" w:hAnsi="Arial"/>
                <w:b/>
                <w:bCs/>
                <w:color w:val="1B3A6B"/>
                <w:sz w:val="22"/>
                <w:szCs w:val="22"/>
              </w:rPr>
              <w:t xml:space="preserve">PROJECT TOTAL</w:t>
            </w:r>
          </w:p>
        </w:tc>
        <w:tc>
          <w:tcPr>
            <w:tcW w:type="dxa" w:w="4360"/>
            <w:tcBorders>
              <w:top w:val="single" w:color="1B3A6B" w:sz="4"/>
              <w:left w:val="single" w:color="1B3A6B" w:sz="4"/>
              <w:bottom w:val="single" w:color="1B3A6B" w:sz="4"/>
              <w:right w:val="single" w:color="1B3A6B" w:sz="4"/>
            </w:tcBorders>
            <w:shd w:fill="EDF4F2" w:val="clear"/>
            <w:tcMar>
              <w:top w:type="dxa" w:w="100"/>
              <w:left w:type="dxa" w:w="160"/>
              <w:bottom w:type="dxa" w:w="100"/>
              <w:right w:type="dxa" w:w="160"/>
            </w:tcMar>
          </w:tcPr>
          <w:p>
            <w:pPr>
              <w:spacing w:before="0" w:after="0"/>
            </w:pPr>
            <w:r>
              <w:rPr>
                <w:rFonts w:ascii="Arial" w:cs="Arial" w:eastAsia="Arial" w:hAnsi="Arial"/>
                <w:color w:val="1B3A6B"/>
                <w:sz w:val="22"/>
                <w:szCs w:val="22"/>
              </w:rPr>
              <w:t xml:space="preserve">Feb 23 – Apr 13, 2026 (7 Weeks)</w:t>
            </w:r>
          </w:p>
        </w:tc>
        <w:tc>
          <w:tcPr>
            <w:tcW w:type="dxa" w:w="1800"/>
            <w:tcBorders>
              <w:top w:val="single" w:color="1B3A6B" w:sz="4"/>
              <w:left w:val="single" w:color="1B3A6B" w:sz="4"/>
              <w:bottom w:val="single" w:color="1B3A6B" w:sz="4"/>
              <w:right w:val="single" w:color="1B3A6B" w:sz="4"/>
            </w:tcBorders>
            <w:shd w:fill="EDF4F2" w:val="clear"/>
            <w:tcMar>
              <w:top w:type="dxa" w:w="100"/>
              <w:left w:type="dxa" w:w="160"/>
              <w:bottom w:type="dxa" w:w="100"/>
              <w:right w:type="dxa" w:w="160"/>
            </w:tcMar>
          </w:tcPr>
          <w:p>
            <w:pPr>
              <w:spacing w:before="0" w:after="0"/>
            </w:pPr>
            <w:r>
              <w:rPr>
                <w:rFonts w:ascii="Arial" w:cs="Arial" w:eastAsia="Arial" w:hAnsi="Arial"/>
                <w:b/>
                <w:bCs/>
                <w:color w:val="1B3A6B"/>
                <w:sz w:val="22"/>
                <w:szCs w:val="22"/>
              </w:rPr>
              <w:t xml:space="preserve">$16,000</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F4F2" w:val="clear"/>
            <w:tcMar>
              <w:top w:type="dxa" w:w="140"/>
              <w:left w:type="dxa" w:w="200"/>
              <w:bottom w:type="dxa" w:w="140"/>
              <w:right w:type="dxa" w:w="200"/>
            </w:tcMar>
          </w:tcPr>
          <w:p>
            <w:pPr>
              <w:spacing w:before="0" w:after="80"/>
            </w:pPr>
            <w:r>
              <w:rPr>
                <w:rFonts w:ascii="Arial" w:cs="Arial" w:eastAsia="Arial" w:hAnsi="Arial"/>
                <w:b/>
                <w:bCs/>
                <w:color w:val="1B3A6B"/>
                <w:sz w:val="22"/>
                <w:szCs w:val="22"/>
              </w:rPr>
              <w:t xml:space="preserve">Important Timeline Notes</w:t>
            </w:r>
          </w:p>
          <w:p>
            <w:pPr>
              <w:spacing w:before="0" w:after="60"/>
            </w:pPr>
            <w:r>
              <w:rPr>
                <w:rFonts w:ascii="Arial" w:cs="Arial" w:eastAsia="Arial" w:hAnsi="Arial"/>
                <w:color w:val="333333"/>
                <w:sz w:val="20"/>
                <w:szCs w:val="20"/>
              </w:rPr>
              <w:t xml:space="preserve">• The 7-week schedule has no buffer for holiday breaks. Client feedback and approvals must be delivered within 48 hours of each review touchpoint.</w:t>
            </w:r>
          </w:p>
          <w:p>
            <w:pPr>
              <w:spacing w:before="0" w:after="60"/>
            </w:pPr>
            <w:r>
              <w:rPr>
                <w:rFonts w:ascii="Arial" w:cs="Arial" w:eastAsia="Arial" w:hAnsi="Arial"/>
                <w:color w:val="333333"/>
                <w:sz w:val="20"/>
                <w:szCs w:val="20"/>
              </w:rPr>
              <w:t xml:space="preserve">• All finalized content (text, images, tool files) must be delivered to Pocketknife no later than March 28 (end of Phase 3) to protect the April 13 go-live.</w:t>
            </w:r>
          </w:p>
          <w:p>
            <w:pPr>
              <w:spacing w:before="0" w:after="0"/>
            </w:pPr>
            <w:r>
              <w:rPr>
                <w:rFonts w:ascii="Arial" w:cs="Arial" w:eastAsia="Arial" w:hAnsi="Arial"/>
                <w:color w:val="555533"/>
                <w:sz w:val="20"/>
                <w:szCs w:val="20"/>
              </w:rPr>
              <w:t xml:space="preserve">• Per the General Web Services Agreement: if the project is delayed more than 14 days due to missing client content or approvals, a restart fee equal to 25% of the remaining balance applies.</w:t>
            </w:r>
          </w:p>
        </w:tc>
      </w:tr>
    </w:tbl>
    <w:p>
      <w:r>
        <w:br w:type="page"/>
      </w:r>
    </w:p>
    <w:p>
      <w:pPr>
        <w:spacing w:before="360" w:after="180"/>
      </w:pPr>
      <w:r>
        <w:rPr>
          <w:rFonts w:ascii="Arial" w:cs="Arial" w:eastAsia="Arial" w:hAnsi="Arial"/>
          <w:b/>
          <w:bCs/>
          <w:color w:val="1B3A6B"/>
          <w:sz w:val="36"/>
          <w:szCs w:val="36"/>
        </w:rPr>
        <w:t xml:space="preserve">3. Content Inventory &amp; Site Mapping</w:t>
      </w:r>
    </w:p>
    <w:p>
      <w:pPr>
        <w:spacing w:before="60" w:after="100"/>
      </w:pPr>
      <w:r>
        <w:rPr>
          <w:rFonts w:ascii="Arial" w:cs="Arial" w:eastAsia="Arial" w:hAnsi="Arial"/>
          <w:color w:val="222222"/>
          <w:sz w:val="22"/>
          <w:szCs w:val="22"/>
        </w:rPr>
        <w:t xml:space="preserve">The Playbook document (Alliance Playbook - FINAL - for Graphic Design.docx) contains 29 major sections, 235 headings, and 1,418 paragraphs of finalized content. Below is a full mapping of how that content distributes across the proposed website structure. This serves as the content plan going into Phase 1 review.</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700"/>
        <w:gridCol w:w="3160"/>
      </w:tblGrid>
      <w:tr>
        <w:tc>
          <w:tcPr>
            <w:tcW w:type="dxa" w:w="1600"/>
            <w:tcBorders>
              <w:top w:val="none" w:color="FFFFFF" w:sz="0"/>
              <w:left w:val="none" w:color="FFFFFF" w:sz="0"/>
              <w:bottom w:val="none" w:color="FFFFFF" w:sz="0"/>
              <w:right w:val="none" w:color="FFFFFF" w:sz="0"/>
            </w:tcBorders>
            <w:shd w:fill="2E7D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Website Page</w:t>
            </w:r>
          </w:p>
        </w:tc>
        <w:tc>
          <w:tcPr>
            <w:tcW w:type="dxa" w:w="900"/>
            <w:tcBorders>
              <w:top w:val="none" w:color="FFFFFF" w:sz="0"/>
              <w:left w:val="none" w:color="FFFFFF" w:sz="0"/>
              <w:bottom w:val="none" w:color="FFFFFF" w:sz="0"/>
              <w:right w:val="none" w:color="FFFFFF" w:sz="0"/>
            </w:tcBorders>
            <w:shd w:fill="2E7D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Doc Sections</w:t>
            </w:r>
          </w:p>
        </w:tc>
        <w:tc>
          <w:tcPr>
            <w:tcW w:type="dxa" w:w="3700"/>
            <w:tcBorders>
              <w:top w:val="none" w:color="FFFFFF" w:sz="0"/>
              <w:left w:val="none" w:color="FFFFFF" w:sz="0"/>
              <w:bottom w:val="none" w:color="FFFFFF" w:sz="0"/>
              <w:right w:val="none" w:color="FFFFFF" w:sz="0"/>
            </w:tcBorders>
            <w:shd w:fill="2E7D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Content Mapped</w:t>
            </w:r>
          </w:p>
        </w:tc>
        <w:tc>
          <w:tcPr>
            <w:tcW w:type="dxa" w:w="3160"/>
            <w:tcBorders>
              <w:top w:val="none" w:color="FFFFFF" w:sz="0"/>
              <w:left w:val="none" w:color="FFFFFF" w:sz="0"/>
              <w:bottom w:val="none" w:color="FFFFFF" w:sz="0"/>
              <w:right w:val="none" w:color="FFFFFF" w:sz="0"/>
            </w:tcBorders>
            <w:shd w:fill="2E7D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Notes / Action Items</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Home / Landing Page</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Section 1</w:t>
            </w:r>
          </w:p>
        </w:tc>
        <w:tc>
          <w:tcPr>
            <w:tcW w:type="dxa" w:w="3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333333"/>
                <w:sz w:val="20"/>
                <w:szCs w:val="20"/>
              </w:rPr>
              <w:t xml:space="preserve">"Why This Matters," Stages of Partnership Building, key stats (24 partnerships, 22 communities, 64 organizations), hero intro copy, quick-nav overview</w:t>
            </w:r>
          </w:p>
        </w:tc>
        <w:tc>
          <w:tcPr>
            <w:tcW w:type="dxa" w:w="3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555555"/>
                <w:sz w:val="20"/>
                <w:szCs w:val="20"/>
              </w:rPr>
              <w:t xml:space="preserve">Strong intro copy already written. Stat callouts are launch-ready.</w:t>
            </w:r>
          </w:p>
        </w:tc>
      </w:tr>
      <w:tr>
        <w:tc>
          <w:tcPr>
            <w:tcW w:type="dxa" w:w="16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About the Playbook</w:t>
            </w:r>
          </w:p>
        </w:tc>
        <w:tc>
          <w:tcPr>
            <w:tcW w:type="dxa" w:w="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Section 2</w:t>
            </w:r>
          </w:p>
        </w:tc>
        <w:tc>
          <w:tcPr>
            <w:tcW w:type="dxa" w:w="37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333333"/>
                <w:sz w:val="20"/>
                <w:szCs w:val="20"/>
              </w:rPr>
              <w:t xml:space="preserve">Why the Alliance Was Created, The Alliance Approach, Program Phases (1 &amp; 2), Program Objectives, National Reach, What This Playbook Contains</w:t>
            </w:r>
          </w:p>
        </w:tc>
        <w:tc>
          <w:tcPr>
            <w:tcW w:type="dxa" w:w="31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555555"/>
                <w:sz w:val="20"/>
                <w:szCs w:val="20"/>
              </w:rPr>
              <w:t xml:space="preserve">All subsections map cleanly to one page. Can use accordion or tabbed layout.</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Framework &amp; Insights</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Sections 3 – 8</w:t>
            </w:r>
          </w:p>
        </w:tc>
        <w:tc>
          <w:tcPr>
            <w:tcW w:type="dxa" w:w="3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333333"/>
                <w:sz w:val="20"/>
                <w:szCs w:val="20"/>
              </w:rPr>
              <w:t xml:space="preserve">Four Building Blocks overview, Trust (+ field examples), Shared Narrative (+ field examples), Facilitation &amp; Project Management (+ funding guidance), Structure &amp; Shared Practice, Practice Makes Durable (Loop of Durability, 60-Day Quick Start)</w:t>
            </w:r>
          </w:p>
        </w:tc>
        <w:tc>
          <w:tcPr>
            <w:tcW w:type="dxa" w:w="3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555555"/>
                <w:sz w:val="20"/>
                <w:szCs w:val="20"/>
              </w:rPr>
              <w:t xml:space="preserve">This is the most content-heavy page. Consider tabbed or scrollable section layout. Optional $3,500 framework visuals add-on lives here.</w:t>
            </w:r>
          </w:p>
        </w:tc>
      </w:tr>
      <w:tr>
        <w:tc>
          <w:tcPr>
            <w:tcW w:type="dxa" w:w="16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Resources Bank</w:t>
            </w:r>
          </w:p>
        </w:tc>
        <w:tc>
          <w:tcPr>
            <w:tcW w:type="dxa" w:w="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Sections 15 – 29 (Tools 1–15)</w:t>
            </w:r>
          </w:p>
        </w:tc>
        <w:tc>
          <w:tcPr>
            <w:tcW w:type="dxa" w:w="37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333333"/>
                <w:sz w:val="20"/>
                <w:szCs w:val="20"/>
              </w:rPr>
              <w:t xml:space="preserve">15 downloadable tools &amp; templates: Coalition Continuity Framework, Rapid Action Planning Template, Positionality Statement, Power-Sharing Charter, Internal Alignment Self-Assessment, Convenor Selection Tool, Meeting Cadence &amp; Accountability Kit, Narrative Building Training Summary, Strategic Doing Session-in-a-Box, Partnership MOA &amp; Board-Alignment Pack, Pivot Protocol, Community Engagement SOW + Resident Council Kit, Capacity &amp; Resourcing Toolkit, Friction-to-Innovation Diagnostic, Ecosystem Mapping &amp; Alignment Toolkit</w:t>
            </w:r>
          </w:p>
        </w:tc>
        <w:tc>
          <w:tcPr>
            <w:tcW w:type="dxa" w:w="31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555555"/>
                <w:sz w:val="20"/>
                <w:szCs w:val="20"/>
              </w:rPr>
              <w:t xml:space="preserve">Need to determine format: PDFs for download, web-only pages, or both. File prep is a significant content task — coordinate early.</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Cities Index</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Overview/Directory Page</w:t>
            </w:r>
          </w:p>
        </w:tc>
        <w:tc>
          <w:tcPr>
            <w:tcW w:type="dxa" w:w="37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333333"/>
                <w:sz w:val="20"/>
                <w:szCs w:val="20"/>
              </w:rPr>
              <w:t xml:space="preserve">Directory or map view of all 6 documented cities, filterable by theme or building block, links to individual case study pages</w:t>
            </w:r>
          </w:p>
        </w:tc>
        <w:tc>
          <w:tcPr>
            <w:tcW w:type="dxa" w:w="3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555555"/>
                <w:sz w:val="20"/>
                <w:szCs w:val="20"/>
              </w:rPr>
              <w:t xml:space="preserve">Themes per city already identified in the document. Filter tags: Trust, Narrative, Facilitation, Structure.</w:t>
            </w:r>
          </w:p>
        </w:tc>
      </w:tr>
      <w:tr>
        <w:tc>
          <w:tcPr>
            <w:tcW w:type="dxa" w:w="16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1B3A6B"/>
                <w:sz w:val="20"/>
                <w:szCs w:val="20"/>
              </w:rPr>
              <w:t xml:space="preserve">Case Study Template
(×6 documented cities)</w:t>
            </w:r>
          </w:p>
        </w:tc>
        <w:tc>
          <w:tcPr>
            <w:tcW w:type="dxa" w:w="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6B7280"/>
                <w:sz w:val="20"/>
                <w:szCs w:val="20"/>
              </w:rPr>
              <w:t xml:space="preserve">Sections 9 – 14</w:t>
            </w:r>
          </w:p>
        </w:tc>
        <w:tc>
          <w:tcPr>
            <w:tcW w:type="dxa" w:w="37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333333"/>
                <w:sz w:val="20"/>
                <w:szCs w:val="20"/>
              </w:rPr>
              <w:t xml:space="preserve">Bangor ME (Trust), Honolulu HI (Local Leadership), Detroit MI (Collaboration Design), Sarasota FL (Facilitation &amp; Structure), Sacramento CA (Communication), New Orleans LA (Corridor Redevelopment). Each has: Orgs Involved, Community Context, Project Type, Alliance Interventions, Challenges, Outcomes, Lessons Learned, Do's &amp; Don'ts.</w:t>
            </w:r>
          </w:p>
        </w:tc>
        <w:tc>
          <w:tcPr>
            <w:tcW w:type="dxa" w:w="3160"/>
            <w:tcBorders>
              <w:top w:val="single" w:color="DDDDDD" w:sz="4"/>
              <w:left w:val="single" w:color="DDDDDD" w:sz="4"/>
              <w:bottom w:val="single" w:color="DDDDDD" w:sz="4"/>
              <w:right w:val="single" w:color="DDDDDD" w:sz="4"/>
            </w:tcBorders>
            <w:shd w:fill="FFF8E6" w:val="clear"/>
            <w:tcMar>
              <w:top w:type="dxa" w:w="80"/>
              <w:left w:type="dxa" w:w="140"/>
              <w:bottom w:type="dxa" w:w="80"/>
              <w:right w:type="dxa" w:w="140"/>
            </w:tcMar>
            <w:vAlign w:val="top"/>
          </w:tcPr>
          <w:p>
            <w:pPr>
              <w:spacing w:before="0" w:after="0"/>
            </w:pPr>
            <w:r>
              <w:rPr>
                <w:rFonts w:ascii="Arial" w:cs="Arial" w:eastAsia="Arial" w:hAnsi="Arial"/>
                <w:color w:val="D97706"/>
                <w:sz w:val="20"/>
                <w:szCs w:val="20"/>
              </w:rPr>
              <w:t xml:space="preserve">⚠ DISCREPANCY FLAG: Proposal scopes ~24+ case studies. Document contains 6 cities — but Sarasota &amp; Bangor sections contain multiple nested case narratives. Clarify total page count before Phase 3.</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6B" w:sz="4"/>
              <w:left w:val="single" w:color="2E7D6B" w:sz="24"/>
              <w:bottom w:val="single" w:color="2E7D6B" w:sz="4"/>
              <w:right w:val="single" w:color="2E7D6B" w:sz="4"/>
            </w:tcBorders>
            <w:shd w:fill="EDF4F2" w:val="clear"/>
            <w:tcMar>
              <w:top w:type="dxa" w:w="140"/>
              <w:left w:type="dxa" w:w="200"/>
              <w:bottom w:type="dxa" w:w="140"/>
              <w:right w:type="dxa" w:w="200"/>
            </w:tcMar>
          </w:tcPr>
          <w:p>
            <w:pPr>
              <w:spacing w:before="0" w:after="80"/>
            </w:pPr>
            <w:r>
              <w:rPr>
                <w:rFonts w:ascii="Arial" w:cs="Arial" w:eastAsia="Arial" w:hAnsi="Arial"/>
                <w:b/>
                <w:bCs/>
                <w:color w:val="2E7D6B"/>
                <w:sz w:val="22"/>
                <w:szCs w:val="22"/>
              </w:rPr>
              <w:t xml:space="preserve">Content Planning Notes</w:t>
            </w:r>
          </w:p>
          <w:p>
            <w:pPr>
              <w:spacing w:before="0" w:after="60"/>
            </w:pPr>
            <w:r>
              <w:rPr>
                <w:rFonts w:ascii="Arial" w:cs="Arial" w:eastAsia="Arial" w:hAnsi="Arial"/>
                <w:color w:val="333333"/>
                <w:sz w:val="20"/>
                <w:szCs w:val="20"/>
              </w:rPr>
              <w:t xml:space="preserve">Framework &amp; Insights is the most content-dense page in the site, drawing from six sections of the Playbook (Sections 3–8). Consider whether this page uses a single-scroll layout, tabbed sections for each Building Block, or anchor navigation. This is a key design decision to resolve in Phase 2.</w:t>
            </w:r>
          </w:p>
          <w:p>
            <w:pPr>
              <w:spacing w:before="0" w:after="60"/>
            </w:pPr>
            <w:r>
              <w:rPr>
                <w:rFonts w:ascii="Arial" w:cs="Arial" w:eastAsia="Arial" w:hAnsi="Arial"/>
                <w:color w:val="333333"/>
                <w:sz w:val="20"/>
                <w:szCs w:val="20"/>
              </w:rPr>
              <w:t xml:space="preserve">The Resources Bank requires early coordination on tool file formats. If tools are to be downloadable, the client will need to prepare 15 files (PDF or formatted Word) before Phase 4. Building this into the Phase 1 content responsibility plan is critical.</w:t>
            </w:r>
          </w:p>
          <w:p>
            <w:pPr>
              <w:spacing w:before="0" w:after="0"/>
            </w:pPr>
            <w:r>
              <w:rPr>
                <w:rFonts w:ascii="Arial" w:cs="Arial" w:eastAsia="Arial" w:hAnsi="Arial"/>
                <w:color w:val="555533"/>
                <w:sz w:val="20"/>
                <w:szCs w:val="20"/>
              </w:rPr>
              <w:t xml:space="preserve">Case study count needs clarification. The proposal scopes 24+ case study pages based on NGIN’s reported 24 partnerships. The Playbook document contains 6 city case studies, some of which embed multiple distinct partnership stories. Recommend auditing with the client to establish the true page count before Phase 3 development begins.</w:t>
            </w:r>
          </w:p>
        </w:tc>
      </w:tr>
    </w:tbl>
    <w:p>
      <w:r>
        <w:br w:type="page"/>
      </w:r>
    </w:p>
    <w:p>
      <w:pPr>
        <w:spacing w:before="360" w:after="180"/>
      </w:pPr>
      <w:r>
        <w:rPr>
          <w:rFonts w:ascii="Arial" w:cs="Arial" w:eastAsia="Arial" w:hAnsi="Arial"/>
          <w:b/>
          <w:bCs/>
          <w:color w:val="1B3A6B"/>
          <w:sz w:val="36"/>
          <w:szCs w:val="36"/>
        </w:rPr>
        <w:t xml:space="preserve">4. Kickoff Call Checklist</w:t>
      </w:r>
    </w:p>
    <w:p>
      <w:pPr>
        <w:spacing w:before="60" w:after="100"/>
      </w:pPr>
      <w:r>
        <w:rPr>
          <w:rFonts w:ascii="Arial" w:cs="Arial" w:eastAsia="Arial" w:hAnsi="Arial"/>
          <w:color w:val="222222"/>
          <w:sz w:val="22"/>
          <w:szCs w:val="22"/>
        </w:rPr>
        <w:t xml:space="preserve">Use this as your running list for today’s 1:00 PM call. Items are grouped by category and prioritized with the most critical at the top. The open decision on site structure should be addressed first.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Category</w:t>
            </w:r>
          </w:p>
        </w:tc>
        <w:tc>
          <w:tcPr>
            <w:tcW w:type="dxa" w:w="78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Item to Cover</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C0392B"/>
                <w:sz w:val="19"/>
                <w:szCs w:val="19"/>
              </w:rPr>
              <w:t xml:space="preserve">Open Decision</w:t>
            </w:r>
          </w:p>
        </w:tc>
        <w:tc>
          <w:tcPr>
            <w:tcW w:type="dxa" w:w="78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Microsite vs. existing site integration — Taylor's Feb 4 email indicated this was still TBD. This must be resolved before any design work begins. Confirm: Is it playbook.newgrowth.org (microsite) or integrated into newgrowth.org?</w:t>
            </w:r>
          </w:p>
        </w:tc>
      </w:tr>
      <w:tr>
        <w:tc>
          <w:tcPr>
            <w:tcW w:type="dxa" w:w="15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D97706"/>
                <w:sz w:val="19"/>
                <w:szCs w:val="19"/>
              </w:rPr>
              <w:t xml:space="preserve">Scope</w:t>
            </w:r>
          </w:p>
        </w:tc>
        <w:tc>
          <w:tcPr>
            <w:tcW w:type="dxa" w:w="78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Confirm case study count: Proposal scopes ~24+ case study pages. The Playbook document contains 6 cities, some with multiple nested cases (notably Sarasota and Bangor). Get clarity on total page count and whether additional cities/case narratives will be added post-launch.</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D97706"/>
                <w:sz w:val="19"/>
                <w:szCs w:val="19"/>
              </w:rPr>
              <w:t xml:space="preserve">Scope</w:t>
            </w:r>
          </w:p>
        </w:tc>
        <w:tc>
          <w:tcPr>
            <w:tcW w:type="dxa" w:w="78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Confirm the framework visuals add-on ($3,500): Are custom infographics for the Four Building Blocks in scope? These would live on the Framework &amp; Insights page and would be needed by end of Phase 2.</w:t>
            </w:r>
          </w:p>
        </w:tc>
      </w:tr>
      <w:tr>
        <w:tc>
          <w:tcPr>
            <w:tcW w:type="dxa" w:w="15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2E7D6B"/>
                <w:sz w:val="19"/>
                <w:szCs w:val="19"/>
              </w:rPr>
              <w:t xml:space="preserve">Content &amp; Assets</w:t>
            </w:r>
          </w:p>
        </w:tc>
        <w:tc>
          <w:tcPr>
            <w:tcW w:type="dxa" w:w="78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Establish client content lead: Who is the primary point of contact for content approvals? (Taylor Dudley appears to be the lead based on the email.)</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2E7D6B"/>
                <w:sz w:val="19"/>
                <w:szCs w:val="19"/>
              </w:rPr>
              <w:t xml:space="preserve">Content &amp; Assets</w:t>
            </w:r>
          </w:p>
        </w:tc>
        <w:tc>
          <w:tcPr>
            <w:tcW w:type="dxa" w:w="78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Confirm what assets exist: Does NGIN have brand guidelines, logo files, color palette, and approved typography? These are needed before Phase 2 begins.</w:t>
            </w:r>
          </w:p>
        </w:tc>
      </w:tr>
      <w:tr>
        <w:tc>
          <w:tcPr>
            <w:tcW w:type="dxa" w:w="15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2E7D6B"/>
                <w:sz w:val="19"/>
                <w:szCs w:val="19"/>
              </w:rPr>
              <w:t xml:space="preserve">Content &amp; Assets</w:t>
            </w:r>
          </w:p>
        </w:tc>
        <w:tc>
          <w:tcPr>
            <w:tcW w:type="dxa" w:w="78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Clarify Resources Bank format: Are the 15 tools meant to be downloadable (PDFs/Word files) or displayed as web content, or both? If downloadable, who is responsible for formatting them for download?</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2E7D6B"/>
                <w:sz w:val="19"/>
                <w:szCs w:val="19"/>
              </w:rPr>
              <w:t xml:space="preserve">Content &amp; Assets</w:t>
            </w:r>
          </w:p>
        </w:tc>
        <w:tc>
          <w:tcPr>
            <w:tcW w:type="dxa" w:w="78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Confirm content freeze date: All content must be finalized before Phase 4 (Mar 30). Client must understand that late content delivery compresses Phase 4 and risks the April 13 go-live.</w:t>
            </w:r>
          </w:p>
        </w:tc>
      </w:tr>
      <w:tr>
        <w:tc>
          <w:tcPr>
            <w:tcW w:type="dxa" w:w="15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1B3A6B"/>
                <w:sz w:val="19"/>
                <w:szCs w:val="19"/>
              </w:rPr>
              <w:t xml:space="preserve">Technical</w:t>
            </w:r>
          </w:p>
        </w:tc>
        <w:tc>
          <w:tcPr>
            <w:tcW w:type="dxa" w:w="78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Squarespace account: Does NGIN have an existing account, or will Pocketknife set one up? Who holds the account ownership?</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B3A6B"/>
                <w:sz w:val="19"/>
                <w:szCs w:val="19"/>
              </w:rPr>
              <w:t xml:space="preserve">Technical</w:t>
            </w:r>
          </w:p>
        </w:tc>
        <w:tc>
          <w:tcPr>
            <w:tcW w:type="dxa" w:w="78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Subdomain setup: Who manages the newgrowth.org DNS? The playbook.newgrowth.org subdomain will need to be pointed to Squarespace — confirm who can make DNS changes and timeline for that access.</w:t>
            </w:r>
          </w:p>
        </w:tc>
      </w:tr>
      <w:tr>
        <w:tc>
          <w:tcPr>
            <w:tcW w:type="dxa" w:w="15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1B3A6B"/>
                <w:sz w:val="19"/>
                <w:szCs w:val="19"/>
              </w:rPr>
              <w:t xml:space="preserve">Technical</w:t>
            </w:r>
          </w:p>
        </w:tc>
        <w:tc>
          <w:tcPr>
            <w:tcW w:type="dxa" w:w="78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Analytics &amp; Search Console: Confirm whether NGIN has Google Analytics and Search Console accounts to connect, and who has admin access.</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5B21B6"/>
                <w:sz w:val="19"/>
                <w:szCs w:val="19"/>
              </w:rPr>
              <w:t xml:space="preserve">Process</w:t>
            </w:r>
          </w:p>
        </w:tc>
        <w:tc>
          <w:tcPr>
            <w:tcW w:type="dxa" w:w="78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Establish feedback/approval workflow: Who has final approval authority on design and content? How will feedback be delivered (email, Loom, written doc)? Set a max 48-hour turnaround expectation on revision feedback.</w:t>
            </w:r>
          </w:p>
        </w:tc>
      </w:tr>
      <w:tr>
        <w:tc>
          <w:tcPr>
            <w:tcW w:type="dxa" w:w="15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5B21B6"/>
                <w:sz w:val="19"/>
                <w:szCs w:val="19"/>
              </w:rPr>
              <w:t xml:space="preserve">Process</w:t>
            </w:r>
          </w:p>
        </w:tc>
        <w:tc>
          <w:tcPr>
            <w:tcW w:type="dxa" w:w="78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Confirm communication tools: Will the team use email, Slack, or a project management tool (e.g., Notion, Linear, Basecamp)? Establish norms for response times.</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5B21B6"/>
                <w:sz w:val="19"/>
                <w:szCs w:val="19"/>
              </w:rPr>
              <w:t xml:space="preserve">Process</w:t>
            </w:r>
          </w:p>
        </w:tc>
        <w:tc>
          <w:tcPr>
            <w:tcW w:type="dxa" w:w="78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Review and confirm payment milestones: Walk through the updated invoice schedule. Confirm that invoices are payable within 15 days of milestone completion and that each phase cannot begin until the prior invoice is paid.</w:t>
            </w:r>
          </w:p>
        </w:tc>
      </w:tr>
      <w:tr>
        <w:tc>
          <w:tcPr>
            <w:tcW w:type="dxa" w:w="15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5B21B6"/>
                <w:sz w:val="19"/>
                <w:szCs w:val="19"/>
              </w:rPr>
              <w:t xml:space="preserve">Process</w:t>
            </w:r>
          </w:p>
        </w:tc>
        <w:tc>
          <w:tcPr>
            <w:tcW w:type="dxa" w:w="78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Discuss revision protocol: Three structured rounds are included. Additional revisions or scope changes are billed at $150/hr. Align on what qualifies as a revision vs. a scope change.</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6B7280"/>
                <w:sz w:val="19"/>
                <w:szCs w:val="19"/>
              </w:rPr>
              <w:t xml:space="preserve">Ongoing</w:t>
            </w:r>
          </w:p>
        </w:tc>
        <w:tc>
          <w:tcPr>
            <w:tcW w:type="dxa" w:w="78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22222"/>
                <w:sz w:val="20"/>
                <w:szCs w:val="20"/>
              </w:rPr>
              <w:t xml:space="preserve">Discuss care packages post-launch: Essentials ($150/mo), Support Plus ($400/mo), Partner ($900/mo). NGIN is a grant-funded org — flag which tier makes sense given their capacity.</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F4F2" w:val="clear"/>
            <w:tcMar>
              <w:top w:type="dxa" w:w="140"/>
              <w:left w:type="dxa" w:w="200"/>
              <w:bottom w:type="dxa" w:w="140"/>
              <w:right w:type="dxa" w:w="200"/>
            </w:tcMar>
          </w:tcPr>
          <w:p>
            <w:pPr>
              <w:spacing w:before="0" w:after="80"/>
            </w:pPr>
            <w:r>
              <w:rPr>
                <w:rFonts w:ascii="Arial" w:cs="Arial" w:eastAsia="Arial" w:hAnsi="Arial"/>
                <w:b/>
                <w:bCs/>
                <w:color w:val="1B3A6B"/>
                <w:sz w:val="22"/>
                <w:szCs w:val="22"/>
              </w:rPr>
              <w:t xml:space="preserve">Suggested Call Agenda  (45–60 min)</w:t>
            </w:r>
          </w:p>
          <w:p>
            <w:pPr>
              <w:spacing w:before="0" w:after="40"/>
            </w:pPr>
            <w:r>
              <w:rPr>
                <w:rFonts w:ascii="Arial" w:cs="Arial" w:eastAsia="Arial" w:hAnsi="Arial"/>
                <w:color w:val="333333"/>
                <w:sz w:val="20"/>
                <w:szCs w:val="20"/>
              </w:rPr>
              <w:t xml:space="preserve">1.  Intros &amp; context  (5 min)</w:t>
            </w:r>
          </w:p>
          <w:p>
            <w:pPr>
              <w:spacing w:before="0" w:after="40"/>
            </w:pPr>
            <w:r>
              <w:rPr>
                <w:rFonts w:ascii="Arial" w:cs="Arial" w:eastAsia="Arial" w:hAnsi="Arial"/>
                <w:b/>
                <w:bCs/>
                <w:color w:val="C0392B"/>
                <w:sz w:val="20"/>
                <w:szCs w:val="20"/>
              </w:rPr>
              <w:t xml:space="preserve">2.  Resolve microsite vs. integration decision  (10 min)</w:t>
            </w:r>
          </w:p>
          <w:p>
            <w:pPr>
              <w:spacing w:before="0" w:after="40"/>
            </w:pPr>
            <w:r>
              <w:rPr>
                <w:rFonts w:ascii="Arial" w:cs="Arial" w:eastAsia="Arial" w:hAnsi="Arial"/>
                <w:color w:val="333333"/>
                <w:sz w:val="20"/>
                <w:szCs w:val="20"/>
              </w:rPr>
              <w:t xml:space="preserve">3.  Walk through updated timeline + milestone payments  (10 min)</w:t>
            </w:r>
          </w:p>
          <w:p>
            <w:pPr>
              <w:spacing w:before="0" w:after="40"/>
            </w:pPr>
            <w:r>
              <w:rPr>
                <w:rFonts w:ascii="Arial" w:cs="Arial" w:eastAsia="Arial" w:hAnsi="Arial"/>
                <w:color w:val="333333"/>
                <w:sz w:val="20"/>
                <w:szCs w:val="20"/>
              </w:rPr>
              <w:t xml:space="preserve">4.  Review content map — confirm case study count, tool formats  (10 min)</w:t>
            </w:r>
          </w:p>
          <w:p>
            <w:pPr>
              <w:spacing w:before="0" w:after="40"/>
            </w:pPr>
            <w:r>
              <w:rPr>
                <w:rFonts w:ascii="Arial" w:cs="Arial" w:eastAsia="Arial" w:hAnsi="Arial"/>
                <w:color w:val="333333"/>
                <w:sz w:val="20"/>
                <w:szCs w:val="20"/>
              </w:rPr>
              <w:t xml:space="preserve">5.  Confirm assets, access, communication norms  (10 min)</w:t>
            </w:r>
          </w:p>
          <w:p>
            <w:pPr>
              <w:spacing w:before="0" w:after="0"/>
            </w:pPr>
            <w:r>
              <w:rPr>
                <w:rFonts w:ascii="Arial" w:cs="Arial" w:eastAsia="Arial" w:hAnsi="Arial"/>
                <w:color w:val="333333"/>
                <w:sz w:val="20"/>
                <w:szCs w:val="20"/>
              </w:rPr>
              <w:t xml:space="preserve">6.  Next steps &amp; Phase 1 action items  (5 min)</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ED9" w:sz="4" w:space="1"/>
      </w:pBdr>
      <w:tabs>
        <w:tab w:val="right" w:pos="9026"/>
      </w:tabs>
      <w:spacing w:before="80" w:after="0"/>
    </w:pPr>
    <w:r>
      <w:rPr>
        <w:rFonts w:ascii="Arial" w:cs="Arial" w:eastAsia="Arial" w:hAnsi="Arial"/>
        <w:color w:val="6B7280"/>
        <w:sz w:val="18"/>
        <w:szCs w:val="18"/>
      </w:rPr>
      <w:t xml:space="preserve">Pocketknife  |  Confidential  |  jared@pocketknife.design</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ED9" w:sz="4" w:space="1"/>
      </w:pBdr>
      <w:tabs>
        <w:tab w:val="right" w:pos="9026"/>
      </w:tabs>
      <w:spacing w:before="0" w:after="80"/>
    </w:pPr>
    <w:r>
      <w:rPr>
        <w:rFonts w:ascii="Arial" w:cs="Arial" w:eastAsia="Arial" w:hAnsi="Arial"/>
        <w:color w:val="6B7280"/>
        <w:sz w:val="18"/>
        <w:szCs w:val="18"/>
      </w:rPr>
      <w:t xml:space="preserve">NGIN Alliance Playbook  |  Kickoff Prep Document</w:t>
    </w:r>
    <w:r>
      <w:rPr>
        <w:rFonts w:ascii="Arial" w:cs="Arial" w:eastAsia="Arial" w:hAnsi="Arial"/>
        <w:color w:val="6B7280"/>
        <w:sz w:val="18"/>
        <w:szCs w:val="18"/>
      </w:rPr>
      <w:t xml:space="preserve">	Feb 23,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2026-02-23T15:50:19.332Z</dcterms:created>
  <dcterms:modified xsi:type="dcterms:W3CDTF">2026-02-23T15:50:19.332Z</dcterms:modified>
</cp:coreProperties>
</file>

<file path=docProps/custom.xml><?xml version="1.0" encoding="utf-8"?>
<Properties xmlns="http://schemas.openxmlformats.org/officeDocument/2006/custom-properties" xmlns:vt="http://schemas.openxmlformats.org/officeDocument/2006/docPropsVTypes"/>
</file>