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IndiHomes Platform - v0.5.0</w:t>
      </w:r>
    </w:p>
    <w:p>
      <w:pPr>
        <w:spacing w:after="100"/>
      </w:pPr>
      <w:r>
        <w:rPr>
          <w:i/>
          <w:iCs/>
          <w:color w:val="555555"/>
          <w:sz w:val="24"/>
          <w:szCs w:val="24"/>
        </w:rPr>
        <w:t xml:space="preserve">Nationwide Search, Claude-Native Web Search, and Dubai Market - Release Notes</w:t>
      </w:r>
    </w:p>
    <w:p>
      <w:pPr>
        <w:pBdr>
          <w:bottom w:val="single" w:color="1F4E79" w:sz="6" w:space="8"/>
        </w:pBdr>
        <w:spacing w:after="300"/>
      </w:pPr>
      <w:r>
        <w:rPr>
          <w:color w:val="777777"/>
          <w:sz w:val="20"/>
          <w:szCs w:val="20"/>
        </w:rPr>
        <w:t xml:space="preserve">15 July 2026  ·  Deployed: Vercel (frontend) + Railway (backend)  ·  Prepared by: Tech</w:t>
      </w:r>
    </w:p>
    <w:p>
      <w:pPr>
        <w:pStyle w:val="Heading1"/>
        <w:spacing w:after="160" w:before="320"/>
      </w:pPr>
      <w:r>
        <w:t xml:space="preserve">1. Summary</w:t>
      </w:r>
    </w:p>
    <w:p>
      <w:pPr>
        <w:spacing w:after="120"/>
      </w:pPr>
      <w:r>
        <w:t xml:space="preserve">This cycle closed out the last major geographic and architectural limitations in the platform. AI Search previously worked reliably only within Maharashtra and depended on a third-party search vendor (Tavily) whose usage quota repeatedly ran out, silently breaking search. Both issues are now resolved: location search, RERA state-resolution, and AI project discovery all work nationwide across India with no hardcoded state list, and the entire research pipeline now runs on Claude's own native web search rather than a pre-fetch step from an external vendor. On top of that, AI Search now supports a Dubai/UAE market alongside India, with its own sourcing, currency, and registration-authority handling.</w:t>
      </w:r>
    </w:p>
    <w:p>
      <w:pPr>
        <w:pStyle w:val="Heading1"/>
        <w:spacing w:after="160" w:before="320"/>
      </w:pPr>
      <w:r>
        <w:t xml:space="preserve">2.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00"/>
              <w:bottom w:type="dxa" w:w="80"/>
              <w:right w:type="dxa" w:w="100"/>
            </w:tcMar>
          </w:tcPr>
          <w:p>
            <w:r>
              <w:rPr>
                <w:b/>
                <w:bCs/>
                <w:color w:val="FFFFFF"/>
                <w:sz w:val="20"/>
                <w:szCs w:val="20"/>
              </w:rPr>
              <w:t xml:space="preserve">Change</w:t>
            </w:r>
          </w:p>
        </w:tc>
        <w:tc>
          <w:tcPr>
            <w:tcW w:type="dxa" w:w="6760"/>
            <w:shd w:fill="1F4E79" w:val="clear"/>
            <w:tcMar>
              <w:top w:type="dxa" w:w="80"/>
              <w:left w:type="dxa" w:w="100"/>
              <w:bottom w:type="dxa" w:w="80"/>
              <w:right w:type="dxa" w:w="100"/>
            </w:tcMar>
          </w:tcPr>
          <w:p>
            <w:r>
              <w:rPr>
                <w:b/>
                <w:bCs/>
                <w:color w:val="FFFFFF"/>
                <w:sz w:val="20"/>
                <w:szCs w:val="20"/>
              </w:rPr>
              <w:t xml:space="preserve">Detail</w:t>
            </w:r>
          </w:p>
        </w:tc>
      </w:tr>
      <w:tr>
        <w:tc>
          <w:tcPr>
            <w:tcW w:type="dxa" w:w="2600"/>
            <w:tcMar>
              <w:top w:type="dxa" w:w="80"/>
              <w:left w:type="dxa" w:w="100"/>
              <w:bottom w:type="dxa" w:w="80"/>
              <w:right w:type="dxa" w:w="100"/>
            </w:tcMar>
          </w:tcPr>
          <w:p>
            <w:r>
              <w:rPr>
                <w:b w:val="false"/>
                <w:bCs w:val="false"/>
                <w:color w:val="000000"/>
                <w:sz w:val="20"/>
                <w:szCs w:val="20"/>
              </w:rPr>
              <w:t xml:space="preserve">Load More (AI Search)</w:t>
            </w:r>
          </w:p>
        </w:tc>
        <w:tc>
          <w:tcPr>
            <w:tcW w:type="dxa" w:w="6760"/>
            <w:tcMar>
              <w:top w:type="dxa" w:w="80"/>
              <w:left w:type="dxa" w:w="100"/>
              <w:bottom w:type="dxa" w:w="80"/>
              <w:right w:type="dxa" w:w="100"/>
            </w:tcMar>
          </w:tcPr>
          <w:p>
            <w:r>
              <w:rPr>
                <w:b w:val="false"/>
                <w:bCs w:val="false"/>
                <w:color w:val="000000"/>
                <w:sz w:val="20"/>
                <w:szCs w:val="20"/>
              </w:rPr>
              <w:t xml:space="preserve">New /api/ai-search-more endpoint. Reruns Claude discovery with an explicit exclude-list of already-shown project names; growable search context so repeated clicks keep building on prior results. Verified: two separate searches returned 3 and then 10 additional fully distinct projects.</w:t>
            </w:r>
          </w:p>
        </w:tc>
      </w:tr>
      <w:tr>
        <w:tc>
          <w:tcPr>
            <w:tcW w:type="dxa" w:w="2600"/>
            <w:tcMar>
              <w:top w:type="dxa" w:w="80"/>
              <w:left w:type="dxa" w:w="100"/>
              <w:bottom w:type="dxa" w:w="80"/>
              <w:right w:type="dxa" w:w="100"/>
            </w:tcMar>
          </w:tcPr>
          <w:p>
            <w:r>
              <w:rPr>
                <w:b w:val="false"/>
                <w:bCs w:val="false"/>
                <w:color w:val="000000"/>
                <w:sz w:val="20"/>
                <w:szCs w:val="20"/>
              </w:rPr>
              <w:t xml:space="preserve">Nationwide location search</w:t>
            </w:r>
          </w:p>
        </w:tc>
        <w:tc>
          <w:tcPr>
            <w:tcW w:type="dxa" w:w="6760"/>
            <w:tcMar>
              <w:top w:type="dxa" w:w="80"/>
              <w:left w:type="dxa" w:w="100"/>
              <w:bottom w:type="dxa" w:w="80"/>
              <w:right w:type="dxa" w:w="100"/>
            </w:tcMar>
          </w:tcPr>
          <w:p>
            <w:r>
              <w:rPr>
                <w:b w:val="false"/>
                <w:bCs w:val="false"/>
                <w:color w:val="000000"/>
                <w:sz w:val="20"/>
                <w:szCs w:val="20"/>
              </w:rPr>
              <w:t xml:space="preserve">Root-caused a hard bug: every location query was force-suffixed with \', Maharashtra\' and boxed into a Maharashtra-only Nominatim viewbox. This is why a Chennai search (\'Kandigai\') was returning Maharashtra infrastructure. Removed the hard restriction; searchIndiaLocations now scopes only by countrycodes=in, with Maharashtra/Mumbai kept as a soft ranking bias, never a filter. Verified across 10 locations in 10 different states.</w:t>
            </w:r>
          </w:p>
        </w:tc>
      </w:tr>
      <w:tr>
        <w:tc>
          <w:tcPr>
            <w:tcW w:type="dxa" w:w="2600"/>
            <w:tcMar>
              <w:top w:type="dxa" w:w="80"/>
              <w:left w:type="dxa" w:w="100"/>
              <w:bottom w:type="dxa" w:w="80"/>
              <w:right w:type="dxa" w:w="100"/>
            </w:tcMar>
          </w:tcPr>
          <w:p>
            <w:r>
              <w:rPr>
                <w:b w:val="false"/>
                <w:bCs w:val="false"/>
                <w:color w:val="000000"/>
                <w:sz w:val="20"/>
                <w:szCs w:val="20"/>
              </w:rPr>
              <w:t xml:space="preserve">RERA state resolution made generic</w:t>
            </w:r>
          </w:p>
        </w:tc>
        <w:tc>
          <w:tcPr>
            <w:tcW w:type="dxa" w:w="6760"/>
            <w:tcMar>
              <w:top w:type="dxa" w:w="80"/>
              <w:left w:type="dxa" w:w="100"/>
              <w:bottom w:type="dxa" w:w="80"/>
              <w:right w:type="dxa" w:w="100"/>
            </w:tcMar>
          </w:tcPr>
          <w:p>
            <w:r>
              <w:rPr>
                <w:b w:val="false"/>
                <w:bCs w:val="false"/>
                <w:color w:val="000000"/>
                <w:sz w:val="20"/>
                <w:szCs w:val="20"/>
              </w:rPr>
              <w:t xml:space="preserve">Project Intelligence's \'Verify on MahaRERA\' button used to guess the state from a hardcoded city-keyword list defaulting to Maharashtra. Replaced with resolveState(), which geocodes the address live through the same location-search endpoint and reads the real state field back — zero special-casing. Verified against 5 unrelated states (Karnataka, West Bengal, Rajasthan, Uttar Pradesh, Kerala) with no keyword list involved. The old keyword list is kept only as an offline fallback if live geocoding fails.</w:t>
            </w:r>
          </w:p>
        </w:tc>
      </w:tr>
      <w:tr>
        <w:tc>
          <w:tcPr>
            <w:tcW w:type="dxa" w:w="2600"/>
            <w:tcMar>
              <w:top w:type="dxa" w:w="80"/>
              <w:left w:type="dxa" w:w="100"/>
              <w:bottom w:type="dxa" w:w="80"/>
              <w:right w:type="dxa" w:w="100"/>
            </w:tcMar>
          </w:tcPr>
          <w:p>
            <w:r>
              <w:rPr>
                <w:b w:val="false"/>
                <w:bCs w:val="false"/>
                <w:color w:val="000000"/>
                <w:sz w:val="20"/>
                <w:szCs w:val="20"/>
              </w:rPr>
              <w:t xml:space="preserve">Real nearby infrastructure (Overpass API)</w:t>
            </w:r>
          </w:p>
        </w:tc>
        <w:tc>
          <w:tcPr>
            <w:tcW w:type="dxa" w:w="6760"/>
            <w:tcMar>
              <w:top w:type="dxa" w:w="80"/>
              <w:left w:type="dxa" w:w="100"/>
              <w:bottom w:type="dxa" w:w="80"/>
              <w:right w:type="dxa" w:w="100"/>
            </w:tcMar>
          </w:tcPr>
          <w:p>
            <w:r>
              <w:rPr>
                <w:b w:val="false"/>
                <w:bCs w:val="false"/>
                <w:color w:val="000000"/>
                <w:sz w:val="20"/>
                <w:szCs w:val="20"/>
              </w:rPr>
              <w:t xml:space="preserve">Nearby-places now pulled live from OpenStreetMap Overpass instead of Claude-guessed prose. Expanded from 5 to 13 categories (schools, colleges, hospitals, pharmacies, malls, supermarkets, cinemas, banks, parks, metro/rail stations, bus stations, attractions). Progressive search radius (2.5km, widened to 5km if under 8 results found), cap raised to 20 results.</w:t>
            </w:r>
          </w:p>
        </w:tc>
      </w:tr>
      <w:tr>
        <w:tc>
          <w:tcPr>
            <w:tcW w:type="dxa" w:w="2600"/>
            <w:tcMar>
              <w:top w:type="dxa" w:w="80"/>
              <w:left w:type="dxa" w:w="100"/>
              <w:bottom w:type="dxa" w:w="80"/>
              <w:right w:type="dxa" w:w="100"/>
            </w:tcMar>
          </w:tcPr>
          <w:p>
            <w:r>
              <w:rPr>
                <w:b w:val="false"/>
                <w:bCs w:val="false"/>
                <w:color w:val="000000"/>
                <w:sz w:val="20"/>
                <w:szCs w:val="20"/>
              </w:rPr>
              <w:t xml:space="preserve">Overpass reliability fixes</w:t>
            </w:r>
          </w:p>
        </w:tc>
        <w:tc>
          <w:tcPr>
            <w:tcW w:type="dxa" w:w="6760"/>
            <w:tcMar>
              <w:top w:type="dxa" w:w="80"/>
              <w:left w:type="dxa" w:w="100"/>
              <w:bottom w:type="dxa" w:w="80"/>
              <w:right w:type="dxa" w:w="100"/>
            </w:tcMar>
          </w:tcPr>
          <w:p>
            <w:r>
              <w:rPr>
                <w:b w:val="false"/>
                <w:bCs w:val="false"/>
                <w:color w:val="000000"/>
                <w:sz w:val="20"/>
                <w:szCs w:val="20"/>
              </w:rPr>
              <w:t xml:space="preserve">Fixed a 406 rejection caused by Node's default fetch headers being rejected by Overpass's content negotiation (explicit accept/user-agent headers resolved it). Fixed transient 504s from the shared public Overpass instance with a single short-delayed automatic retry.</w:t>
            </w:r>
          </w:p>
        </w:tc>
      </w:tr>
      <w:tr>
        <w:tc>
          <w:tcPr>
            <w:tcW w:type="dxa" w:w="2600"/>
            <w:tcMar>
              <w:top w:type="dxa" w:w="80"/>
              <w:left w:type="dxa" w:w="100"/>
              <w:bottom w:type="dxa" w:w="80"/>
              <w:right w:type="dxa" w:w="100"/>
            </w:tcMar>
          </w:tcPr>
          <w:p>
            <w:r>
              <w:rPr>
                <w:b w:val="false"/>
                <w:bCs w:val="false"/>
                <w:color w:val="000000"/>
                <w:sz w:val="20"/>
                <w:szCs w:val="20"/>
              </w:rPr>
              <w:t xml:space="preserve">Full migration off Tavily/Serper to Claude native web search</w:t>
            </w:r>
          </w:p>
        </w:tc>
        <w:tc>
          <w:tcPr>
            <w:tcW w:type="dxa" w:w="6760"/>
            <w:tcMar>
              <w:top w:type="dxa" w:w="80"/>
              <w:left w:type="dxa" w:w="100"/>
              <w:bottom w:type="dxa" w:w="80"/>
              <w:right w:type="dxa" w:w="100"/>
            </w:tcMar>
          </w:tcPr>
          <w:p>
            <w:r>
              <w:rPr>
                <w:b w:val="false"/>
                <w:bCs w:val="false"/>
                <w:color w:val="000000"/>
                <w:sz w:val="20"/>
                <w:szCs w:val="20"/>
              </w:rPr>
              <w:t xml:space="preserve">The single largest change this cycle. AI Search, Load More, the analyst report, and Project Intelligence research all previously depended on a third-party search provider (Tavily, with Serper as backup) to pre-fetch web pages for Claude to read. Tavily's usage quota was repeatedly exhausted, causing silent empty results. Removed TAVILY_API_KEY/SERPER_API_KEY and all related code entirely. Claude now performs its own live web search server-side via Anthropic's native web_search tool in a single API call, with real cited source URLs returned alongside the answer. discoverProjectsFromWeb, researchFromWeb, and analystReport were all rewritten around this. Verified end-to-end with real distinct multi-project results before further testing was blocked by Anthropic account credit exhaustion (see Known Issues).</w:t>
            </w:r>
          </w:p>
        </w:tc>
      </w:tr>
      <w:tr>
        <w:tc>
          <w:tcPr>
            <w:tcW w:type="dxa" w:w="2600"/>
            <w:tcMar>
              <w:top w:type="dxa" w:w="80"/>
              <w:left w:type="dxa" w:w="100"/>
              <w:bottom w:type="dxa" w:w="80"/>
              <w:right w:type="dxa" w:w="100"/>
            </w:tcMar>
          </w:tcPr>
          <w:p>
            <w:r>
              <w:rPr>
                <w:b w:val="false"/>
                <w:bCs w:val="false"/>
                <w:color w:val="000000"/>
                <w:sz w:val="20"/>
                <w:szCs w:val="20"/>
              </w:rPr>
              <w:t xml:space="preserve">RERA confidence scoring rebuilt</w:t>
            </w:r>
          </w:p>
        </w:tc>
        <w:tc>
          <w:tcPr>
            <w:tcW w:type="dxa" w:w="6760"/>
            <w:tcMar>
              <w:top w:type="dxa" w:w="80"/>
              <w:left w:type="dxa" w:w="100"/>
              <w:bottom w:type="dxa" w:w="80"/>
              <w:right w:type="dxa" w:w="100"/>
            </w:tcMar>
          </w:tcPr>
          <w:p>
            <w:r>
              <w:rPr>
                <w:b w:val="false"/>
                <w:bCs w:val="false"/>
                <w:color w:val="000000"/>
                <w:sz w:val="20"/>
                <w:szCs w:val="20"/>
              </w:rPr>
              <w:t xml:space="preserve">Because native web search only returns citations (not full page text), the RERA confidence pipeline (resolveProjectRera) was rewritten to score confidence by source quality: 100 for a match in our own scraped dataset, 95 for an official MahaRERA domain citation, 90 for a plausible non-Maharashtra RERA string from an official domain, 60/50 for weaker but sourced matches. The RERA badge only renders when confidence is 90+ or Surepass independently verifies it, so unverifiable numbers are never shown as confirmed.</w:t>
            </w:r>
          </w:p>
        </w:tc>
      </w:tr>
      <w:tr>
        <w:tc>
          <w:tcPr>
            <w:tcW w:type="dxa" w:w="2600"/>
            <w:tcMar>
              <w:top w:type="dxa" w:w="80"/>
              <w:left w:type="dxa" w:w="100"/>
              <w:bottom w:type="dxa" w:w="80"/>
              <w:right w:type="dxa" w:w="100"/>
            </w:tcMar>
          </w:tcPr>
          <w:p>
            <w:r>
              <w:rPr>
                <w:b w:val="false"/>
                <w:bCs w:val="false"/>
                <w:color w:val="000000"/>
                <w:sz w:val="20"/>
                <w:szCs w:val="20"/>
              </w:rPr>
              <w:t xml:space="preserve">Dubai / UAE market support</w:t>
            </w:r>
          </w:p>
        </w:tc>
        <w:tc>
          <w:tcPr>
            <w:tcW w:type="dxa" w:w="6760"/>
            <w:tcMar>
              <w:top w:type="dxa" w:w="80"/>
              <w:left w:type="dxa" w:w="100"/>
              <w:bottom w:type="dxa" w:w="80"/>
              <w:right w:type="dxa" w:w="100"/>
            </w:tcMar>
          </w:tcPr>
          <w:p>
            <w:r>
              <w:rPr>
                <w:b w:val="false"/>
                <w:bCs w:val="false"/>
                <w:color w:val="000000"/>
                <w:sz w:val="20"/>
                <w:szCs w:val="20"/>
              </w:rPr>
              <w:t xml:space="preserve">Added a market toggle (India / Dubai-UAE) to AI Search. Claude's discovery prompt branches per market: Dubai searches target Bayut, Property Finder UAE, and developer sites (Emaar, Damac, Nakheel, Sobha), returns AED pricing (never converted to INR), freehold/leasehold status, and DLD registration numbers in place of RERA. The RERA badge component now labels itself dynamically (RERA vs DLD) based on which market a project belongs to. Location search also scopes to the UAE (countrycodes=ae) when the Dubai market is selected, with no Maharashtra bias applied. Dubai listings are explicitly marked as not independently verifiable (no DLD verification API is integrated yet) rather than shown as falsely confirmed or denied.</w:t>
            </w:r>
          </w:p>
        </w:tc>
      </w:tr>
    </w:tbl>
    <w:p>
      <w:pPr>
        <w:spacing w:after="200"/>
      </w:pPr>
    </w:p>
    <w:p>
      <w:pPr>
        <w:pStyle w:val="Heading1"/>
        <w:spacing w:after="160" w:before="320"/>
      </w:pPr>
      <w:r>
        <w:t xml:space="preserve">3. Verification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F4E79" w:val="clear"/>
            <w:tcMar>
              <w:top w:type="dxa" w:w="80"/>
              <w:left w:type="dxa" w:w="100"/>
              <w:bottom w:type="dxa" w:w="80"/>
              <w:right w:type="dxa" w:w="100"/>
            </w:tcMar>
          </w:tcPr>
          <w:p>
            <w:r>
              <w:rPr>
                <w:b/>
                <w:bCs/>
                <w:color w:val="FFFFFF"/>
                <w:sz w:val="20"/>
                <w:szCs w:val="20"/>
              </w:rPr>
              <w:t xml:space="preserve">Check</w:t>
            </w:r>
          </w:p>
        </w:tc>
        <w:tc>
          <w:tcPr>
            <w:tcW w:type="dxa" w:w="5860"/>
            <w:shd w:fill="1F4E79" w:val="clear"/>
            <w:tcMar>
              <w:top w:type="dxa" w:w="80"/>
              <w:left w:type="dxa" w:w="100"/>
              <w:bottom w:type="dxa" w:w="80"/>
              <w:right w:type="dxa" w:w="100"/>
            </w:tcMar>
          </w:tcPr>
          <w:p>
            <w:r>
              <w:rPr>
                <w:b/>
                <w:bCs/>
                <w:color w:val="FFFFFF"/>
                <w:sz w:val="20"/>
                <w:szCs w:val="20"/>
              </w:rPr>
              <w:t xml:space="preserve">Result</w:t>
            </w:r>
          </w:p>
        </w:tc>
      </w:tr>
      <w:tr>
        <w:tc>
          <w:tcPr>
            <w:tcW w:type="dxa" w:w="3500"/>
            <w:tcMar>
              <w:top w:type="dxa" w:w="80"/>
              <w:left w:type="dxa" w:w="100"/>
              <w:bottom w:type="dxa" w:w="80"/>
              <w:right w:type="dxa" w:w="100"/>
            </w:tcMar>
          </w:tcPr>
          <w:p>
            <w:r>
              <w:rPr>
                <w:b w:val="false"/>
                <w:bCs w:val="false"/>
                <w:color w:val="000000"/>
                <w:sz w:val="20"/>
                <w:szCs w:val="20"/>
              </w:rPr>
              <w:t xml:space="preserve">Load more — Thane search</w:t>
            </w:r>
          </w:p>
        </w:tc>
        <w:tc>
          <w:tcPr>
            <w:tcW w:type="dxa" w:w="5860"/>
            <w:tcMar>
              <w:top w:type="dxa" w:w="80"/>
              <w:left w:type="dxa" w:w="100"/>
              <w:bottom w:type="dxa" w:w="80"/>
              <w:right w:type="dxa" w:w="100"/>
            </w:tcMar>
          </w:tcPr>
          <w:p>
            <w:r>
              <w:rPr>
                <w:b w:val="false"/>
                <w:bCs w:val="false"/>
                <w:color w:val="000000"/>
                <w:sz w:val="20"/>
                <w:szCs w:val="20"/>
              </w:rPr>
              <w:t xml:space="preserve">8 initial projects, 3 new distinct projects on load-more.</w:t>
            </w:r>
          </w:p>
        </w:tc>
      </w:tr>
      <w:tr>
        <w:tc>
          <w:tcPr>
            <w:tcW w:type="dxa" w:w="3500"/>
            <w:tcMar>
              <w:top w:type="dxa" w:w="80"/>
              <w:left w:type="dxa" w:w="100"/>
              <w:bottom w:type="dxa" w:w="80"/>
              <w:right w:type="dxa" w:w="100"/>
            </w:tcMar>
          </w:tcPr>
          <w:p>
            <w:r>
              <w:rPr>
                <w:b w:val="false"/>
                <w:bCs w:val="false"/>
                <w:color w:val="000000"/>
                <w:sz w:val="20"/>
                <w:szCs w:val="20"/>
              </w:rPr>
              <w:t xml:space="preserve">Load more — Panvel search (post-migration)</w:t>
            </w:r>
          </w:p>
        </w:tc>
        <w:tc>
          <w:tcPr>
            <w:tcW w:type="dxa" w:w="5860"/>
            <w:tcMar>
              <w:top w:type="dxa" w:w="80"/>
              <w:left w:type="dxa" w:w="100"/>
              <w:bottom w:type="dxa" w:w="80"/>
              <w:right w:type="dxa" w:w="100"/>
            </w:tcMar>
          </w:tcPr>
          <w:p>
            <w:r>
              <w:rPr>
                <w:b w:val="false"/>
                <w:bCs w:val="false"/>
                <w:color w:val="000000"/>
                <w:sz w:val="20"/>
                <w:szCs w:val="20"/>
              </w:rPr>
              <w:t xml:space="preserve">10 initial projects, 10 more fully distinct projects on load-more, zero overlap.</w:t>
            </w:r>
          </w:p>
        </w:tc>
      </w:tr>
      <w:tr>
        <w:tc>
          <w:tcPr>
            <w:tcW w:type="dxa" w:w="3500"/>
            <w:tcMar>
              <w:top w:type="dxa" w:w="80"/>
              <w:left w:type="dxa" w:w="100"/>
              <w:bottom w:type="dxa" w:w="80"/>
              <w:right w:type="dxa" w:w="100"/>
            </w:tcMar>
          </w:tcPr>
          <w:p>
            <w:r>
              <w:rPr>
                <w:b w:val="false"/>
                <w:bCs w:val="false"/>
                <w:color w:val="000000"/>
                <w:sz w:val="20"/>
                <w:szCs w:val="20"/>
              </w:rPr>
              <w:t xml:space="preserve">Location search — 10-state sweep</w:t>
            </w:r>
          </w:p>
        </w:tc>
        <w:tc>
          <w:tcPr>
            <w:tcW w:type="dxa" w:w="5860"/>
            <w:tcMar>
              <w:top w:type="dxa" w:w="80"/>
              <w:left w:type="dxa" w:w="100"/>
              <w:bottom w:type="dxa" w:w="80"/>
              <w:right w:type="dxa" w:w="100"/>
            </w:tcMar>
          </w:tcPr>
          <w:p>
            <w:r>
              <w:rPr>
                <w:b w:val="false"/>
                <w:bCs w:val="false"/>
                <w:color w:val="000000"/>
                <w:sz w:val="20"/>
                <w:szCs w:val="20"/>
              </w:rPr>
              <w:t xml:space="preserve">All 10 locations across 10 different states resolved to the correct city/state, no Maharashtra bleed-through.</w:t>
            </w:r>
          </w:p>
        </w:tc>
      </w:tr>
      <w:tr>
        <w:tc>
          <w:tcPr>
            <w:tcW w:type="dxa" w:w="3500"/>
            <w:tcMar>
              <w:top w:type="dxa" w:w="80"/>
              <w:left w:type="dxa" w:w="100"/>
              <w:bottom w:type="dxa" w:w="80"/>
              <w:right w:type="dxa" w:w="100"/>
            </w:tcMar>
          </w:tcPr>
          <w:p>
            <w:r>
              <w:rPr>
                <w:b w:val="false"/>
                <w:bCs w:val="false"/>
                <w:color w:val="000000"/>
                <w:sz w:val="20"/>
                <w:szCs w:val="20"/>
              </w:rPr>
              <w:t xml:space="preserve">RERA state resolution — 5-state sweep</w:t>
            </w:r>
          </w:p>
        </w:tc>
        <w:tc>
          <w:tcPr>
            <w:tcW w:type="dxa" w:w="5860"/>
            <w:tcMar>
              <w:top w:type="dxa" w:w="80"/>
              <w:left w:type="dxa" w:w="100"/>
              <w:bottom w:type="dxa" w:w="80"/>
              <w:right w:type="dxa" w:w="100"/>
            </w:tcMar>
          </w:tcPr>
          <w:p>
            <w:r>
              <w:rPr>
                <w:b w:val="false"/>
                <w:bCs w:val="false"/>
                <w:color w:val="000000"/>
                <w:sz w:val="20"/>
                <w:szCs w:val="20"/>
              </w:rPr>
              <w:t xml:space="preserve">Koramangala to Karnataka, Salt Lake to West Bengal, Malviya Nagar to Rajasthan, Gomti Nagar to Uttar Pradesh, Kakkanad to Kerala. No hardcoded keyword involved.</w:t>
            </w:r>
          </w:p>
        </w:tc>
      </w:tr>
      <w:tr>
        <w:tc>
          <w:tcPr>
            <w:tcW w:type="dxa" w:w="3500"/>
            <w:tcMar>
              <w:top w:type="dxa" w:w="80"/>
              <w:left w:type="dxa" w:w="100"/>
              <w:bottom w:type="dxa" w:w="80"/>
              <w:right w:type="dxa" w:w="100"/>
            </w:tcMar>
          </w:tcPr>
          <w:p>
            <w:r>
              <w:rPr>
                <w:b w:val="false"/>
                <w:bCs w:val="false"/>
                <w:color w:val="000000"/>
                <w:sz w:val="20"/>
                <w:szCs w:val="20"/>
              </w:rPr>
              <w:t xml:space="preserve">Overpass 406 / 504 fixes</w:t>
            </w:r>
          </w:p>
        </w:tc>
        <w:tc>
          <w:tcPr>
            <w:tcW w:type="dxa" w:w="5860"/>
            <w:tcMar>
              <w:top w:type="dxa" w:w="80"/>
              <w:left w:type="dxa" w:w="100"/>
              <w:bottom w:type="dxa" w:w="80"/>
              <w:right w:type="dxa" w:w="100"/>
            </w:tcMar>
          </w:tcPr>
          <w:p>
            <w:r>
              <w:rPr>
                <w:b w:val="false"/>
                <w:bCs w:val="false"/>
                <w:color w:val="000000"/>
                <w:sz w:val="20"/>
                <w:szCs w:val="20"/>
              </w:rPr>
              <w:t xml:space="preserve">Reproduced both failures directly, confirmed fixed with explicit headers and a single delayed retry.</w:t>
            </w:r>
          </w:p>
        </w:tc>
      </w:tr>
      <w:tr>
        <w:tc>
          <w:tcPr>
            <w:tcW w:type="dxa" w:w="3500"/>
            <w:tcMar>
              <w:top w:type="dxa" w:w="80"/>
              <w:left w:type="dxa" w:w="100"/>
              <w:bottom w:type="dxa" w:w="80"/>
              <w:right w:type="dxa" w:w="100"/>
            </w:tcMar>
          </w:tcPr>
          <w:p>
            <w:r>
              <w:rPr>
                <w:b w:val="false"/>
                <w:bCs w:val="false"/>
                <w:color w:val="000000"/>
                <w:sz w:val="20"/>
                <w:szCs w:val="20"/>
              </w:rPr>
              <w:t xml:space="preserve">Dubai market toggle</w:t>
            </w:r>
          </w:p>
        </w:tc>
        <w:tc>
          <w:tcPr>
            <w:tcW w:type="dxa" w:w="5860"/>
            <w:tcMar>
              <w:top w:type="dxa" w:w="80"/>
              <w:left w:type="dxa" w:w="100"/>
              <w:bottom w:type="dxa" w:w="80"/>
              <w:right w:type="dxa" w:w="100"/>
            </w:tcMar>
          </w:tcPr>
          <w:p>
            <w:r>
              <w:rPr>
                <w:b w:val="false"/>
                <w:bCs w:val="false"/>
                <w:color w:val="000000"/>
                <w:sz w:val="20"/>
                <w:szCs w:val="20"/>
              </w:rPr>
              <w:t xml:space="preserve">UI toggle and UAE-scoped live location geocoding verified in production. Full live Claude project-discovery flow for Dubai could not be verified end-to-end this cycle (see Known Issues).</w:t>
            </w:r>
          </w:p>
        </w:tc>
      </w:tr>
    </w:tbl>
    <w:p>
      <w:pPr>
        <w:spacing w:after="200"/>
      </w:pPr>
    </w:p>
    <w:p>
      <w:pPr>
        <w:pStyle w:val="Heading1"/>
        <w:spacing w:after="160" w:before="320"/>
      </w:pPr>
      <w:r>
        <w:t xml:space="preserve">4. Known Issues / Blockers</w:t>
      </w:r>
    </w:p>
    <w:p>
      <w:pPr>
        <w:pStyle w:val="ListParagraph"/>
        <w:numPr>
          <w:ilvl w:val="0"/>
          <w:numId w:val="2"/>
        </w:numPr>
        <w:spacing w:after="60"/>
      </w:pPr>
      <w:r>
        <w:t xml:space="preserve">Anthropic API credit balance is currently exhausted on the account used for AI Search, Load More, research, and the new Dubai market feature. This blocks any further live testing until credits are topped up at console.anthropic.com — it is a billing state, not a code defect, and requires no engineering fix.</w:t>
      </w:r>
    </w:p>
    <w:p>
      <w:pPr>
        <w:pStyle w:val="ListParagraph"/>
        <w:numPr>
          <w:ilvl w:val="0"/>
          <w:numId w:val="2"/>
        </w:numPr>
        <w:spacing w:after="60"/>
      </w:pPr>
      <w:r>
        <w:t xml:space="preserve">Dubai/UAE listings do not have an integrated DLD verification API, so DLD registration numbers are surfaced only when Claude cites a real source, and are always labelled as not independently verifiable rather than confirmed or denied.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4E79"/>
      <w:sz w:val="30"/>
      <w:szCs w:val="30"/>
    </w:rPr>
  </w:style>
  <w:style w:type="paragraph" w:styleId="Heading2">
    <w:name w:val="Heading 2"/>
    <w:basedOn w:val="Normal"/>
    <w:next w:val="Normal"/>
    <w:qFormat/>
    <w:pPr>
      <w:spacing w:after="100" w:before="220"/>
    </w:pPr>
    <w:rPr>
      <w:rFonts w:ascii="Calibri" w:cs="Calibri" w:eastAsia="Calibri" w:hAnsi="Calibri"/>
      <w:b/>
      <w:bCs/>
      <w:color w:val="1B1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2026-07-14T19:14:14.918Z</dcterms:created>
  <dcterms:modified xsi:type="dcterms:W3CDTF">2026-07-14T19:14:14.920Z</dcterms:modified>
</cp:coreProperties>
</file>

<file path=docProps/custom.xml><?xml version="1.0" encoding="utf-8"?>
<Properties xmlns="http://schemas.openxmlformats.org/officeDocument/2006/custom-properties" xmlns:vt="http://schemas.openxmlformats.org/officeDocument/2006/docPropsVTypes"/>
</file>