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IndiHomes Platform - v0.7.0</w:t>
      </w:r>
    </w:p>
    <w:p>
      <w:pPr>
        <w:spacing w:after="100"/>
      </w:pPr>
      <w:r>
        <w:rPr>
          <w:i/>
          <w:iCs/>
          <w:color w:val="555555"/>
          <w:sz w:val="24"/>
          <w:szCs w:val="24"/>
        </w:rPr>
        <w:t xml:space="preserve">Lead Identification and Housing.com Integration - Release Notes</w:t>
      </w:r>
    </w:p>
    <w:p>
      <w:pPr>
        <w:pBdr>
          <w:bottom w:val="single" w:color="1F4E79" w:sz="6" w:space="8"/>
        </w:pBdr>
        <w:spacing w:after="300"/>
      </w:pPr>
      <w:r>
        <w:rPr>
          <w:color w:val="777777"/>
          <w:sz w:val="20"/>
          <w:szCs w:val="20"/>
        </w:rPr>
        <w:t xml:space="preserve">31 July 2026 - Deployed: Vercel (frontend) + Railway (backend) - Prepared by: Tech</w:t>
      </w:r>
    </w:p>
    <w:p>
      <w:pPr>
        <w:pStyle w:val="Heading1"/>
        <w:spacing w:after="160" w:before="320"/>
      </w:pPr>
      <w:r>
        <w:t xml:space="preserve">1. Summary</w:t>
      </w:r>
    </w:p>
    <w:p>
      <w:pPr>
        <w:spacing w:after="120"/>
      </w:pPr>
      <w:r>
        <w:t xml:space="preserve">This cycle delivered the Lead Capturing module (timeline row 7): a phone-based Lead Identification model that merges leads from every source into one canonical record, a live working integration with Housing.com's builder-leads API, and a Meta Lead Ads pipeline that is fully built but blocked on one missing permission on the account's access token. The Unified Lead Inbox screen, previously static placeholder data, now shows the real pipeline output. This cycle also closed out the Azure AI Search work from the prior release and fixed a live production incident along the way.</w:t>
      </w:r>
    </w:p>
    <w:p>
      <w:pPr>
        <w:pStyle w:val="Heading1"/>
        <w:spacing w:after="160" w:before="320"/>
      </w:pPr>
      <w:r>
        <w:t xml:space="preserve">2.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sz w:val="20"/>
                <w:szCs w:val="20"/>
              </w:rPr>
              <w:t xml:space="preserve">Change</w:t>
            </w:r>
          </w:p>
        </w:tc>
        <w:tc>
          <w:tcPr>
            <w:tcW w:type="dxa" w:w="6760"/>
            <w:shd w:fill="1F4E79" w:val="clear"/>
            <w:tcMar>
              <w:top w:type="dxa" w:w="80"/>
              <w:left w:type="dxa" w:w="100"/>
              <w:bottom w:type="dxa" w:w="80"/>
              <w:right w:type="dxa" w:w="100"/>
            </w:tcMar>
          </w:tcPr>
          <w:p>
            <w:r>
              <w:rPr>
                <w:b/>
                <w:bCs/>
                <w:color w:val="FFFFFF"/>
                <w:sz w:val="20"/>
                <w:szCs w:val="20"/>
              </w:rPr>
              <w:t xml:space="preserve">Detail</w:t>
            </w:r>
          </w:p>
        </w:tc>
      </w:tr>
      <w:tr>
        <w:tc>
          <w:tcPr>
            <w:tcW w:type="dxa" w:w="2600"/>
            <w:tcMar>
              <w:top w:type="dxa" w:w="80"/>
              <w:left w:type="dxa" w:w="100"/>
              <w:bottom w:type="dxa" w:w="80"/>
              <w:right w:type="dxa" w:w="100"/>
            </w:tcMar>
          </w:tcPr>
          <w:p>
            <w:r>
              <w:rPr>
                <w:b w:val="false"/>
                <w:bCs w:val="false"/>
                <w:color w:val="000000"/>
                <w:sz w:val="20"/>
                <w:szCs w:val="20"/>
              </w:rPr>
              <w:t xml:space="preserve">Lead Identification model (new)</w:t>
            </w:r>
          </w:p>
        </w:tc>
        <w:tc>
          <w:tcPr>
            <w:tcW w:type="dxa" w:w="6760"/>
            <w:tcMar>
              <w:top w:type="dxa" w:w="80"/>
              <w:left w:type="dxa" w:w="100"/>
              <w:bottom w:type="dxa" w:w="80"/>
              <w:right w:type="dxa" w:w="100"/>
            </w:tcMar>
          </w:tcPr>
          <w:p>
            <w:r>
              <w:rPr>
                <w:b w:val="false"/>
                <w:bCs w:val="false"/>
                <w:color w:val="000000"/>
                <w:sz w:val="20"/>
                <w:szCs w:val="20"/>
              </w:rPr>
              <w:t xml:space="preserve">New leads/lead_touches tables: one canonical record per real person, keyed by normalized phone number. A second intake for a known phone fills in blank fields only (never overwrites an existing answer) and is logged as a duplicate touch rather than creating a second lead. Full audit trail preserved per touch.</w:t>
            </w:r>
          </w:p>
        </w:tc>
      </w:tr>
      <w:tr>
        <w:tc>
          <w:tcPr>
            <w:tcW w:type="dxa" w:w="2600"/>
            <w:tcMar>
              <w:top w:type="dxa" w:w="80"/>
              <w:left w:type="dxa" w:w="100"/>
              <w:bottom w:type="dxa" w:w="80"/>
              <w:right w:type="dxa" w:w="100"/>
            </w:tcMar>
          </w:tcPr>
          <w:p>
            <w:r>
              <w:rPr>
                <w:b w:val="false"/>
                <w:bCs w:val="false"/>
                <w:color w:val="000000"/>
                <w:sz w:val="20"/>
                <w:szCs w:val="20"/>
              </w:rPr>
              <w:t xml:space="preserve">Universal lead intake endpoint</w:t>
            </w:r>
          </w:p>
        </w:tc>
        <w:tc>
          <w:tcPr>
            <w:tcW w:type="dxa" w:w="6760"/>
            <w:tcMar>
              <w:top w:type="dxa" w:w="80"/>
              <w:left w:type="dxa" w:w="100"/>
              <w:bottom w:type="dxa" w:w="80"/>
              <w:right w:type="dxa" w:w="100"/>
            </w:tcMar>
          </w:tcPr>
          <w:p>
            <w:r>
              <w:rPr>
                <w:b w:val="false"/>
                <w:bCs w:val="false"/>
                <w:color w:val="000000"/>
                <w:sz w:val="20"/>
                <w:szCs w:val="20"/>
              </w:rPr>
              <w:t xml:space="preserve">POST /api/leads accepts source and leadData from any channel (Meta, website, Housing.com, 99acres, MagicBricks, referral, walk-in) and normalizes each source's payload shape into one common lead record via lead-intake.cjs before dedup.</w:t>
            </w:r>
          </w:p>
        </w:tc>
      </w:tr>
      <w:tr>
        <w:tc>
          <w:tcPr>
            <w:tcW w:type="dxa" w:w="2600"/>
            <w:tcMar>
              <w:top w:type="dxa" w:w="80"/>
              <w:left w:type="dxa" w:w="100"/>
              <w:bottom w:type="dxa" w:w="80"/>
              <w:right w:type="dxa" w:w="100"/>
            </w:tcMar>
          </w:tcPr>
          <w:p>
            <w:r>
              <w:rPr>
                <w:b w:val="false"/>
                <w:bCs w:val="false"/>
                <w:color w:val="000000"/>
                <w:sz w:val="20"/>
                <w:szCs w:val="20"/>
              </w:rPr>
              <w:t xml:space="preserve">Housing.com - live, working integration</w:t>
            </w:r>
          </w:p>
        </w:tc>
        <w:tc>
          <w:tcPr>
            <w:tcW w:type="dxa" w:w="6760"/>
            <w:tcMar>
              <w:top w:type="dxa" w:w="80"/>
              <w:left w:type="dxa" w:w="100"/>
              <w:bottom w:type="dxa" w:w="80"/>
              <w:right w:type="dxa" w:w="100"/>
            </w:tcMar>
          </w:tcPr>
          <w:p>
            <w:r>
              <w:rPr>
                <w:b w:val="false"/>
                <w:bCs w:val="false"/>
                <w:color w:val="000000"/>
                <w:sz w:val="20"/>
                <w:szCs w:val="20"/>
              </w:rPr>
              <w:t xml:space="preserve">Real pull client (housing-client.cjs) implementing the exact contract from Housing's integration spec: GET pahal.housing.com/api/v0/get-builder-leads, signed with HMAC-SHA256 of the API key and current timestamp. New POST /api/leads/sync-housing plus an automatic hourly background poll. Verified against the live API: 14 real leads fetched and ingested (Asmi Legacy, Arkade Evoke, Mahindra Marina 64 Phase 3, AnchorPoint Aviara and others), including a real UAE country-code enquiry that an early version of the phone-dedup logic would have silently discarded - found and fixed.</w:t>
            </w:r>
          </w:p>
        </w:tc>
      </w:tr>
      <w:tr>
        <w:tc>
          <w:tcPr>
            <w:tcW w:type="dxa" w:w="2600"/>
            <w:tcMar>
              <w:top w:type="dxa" w:w="80"/>
              <w:left w:type="dxa" w:w="100"/>
              <w:bottom w:type="dxa" w:w="80"/>
              <w:right w:type="dxa" w:w="100"/>
            </w:tcMar>
          </w:tcPr>
          <w:p>
            <w:r>
              <w:rPr>
                <w:b w:val="false"/>
                <w:bCs w:val="false"/>
                <w:color w:val="000000"/>
                <w:sz w:val="20"/>
                <w:szCs w:val="20"/>
              </w:rPr>
              <w:t xml:space="preserve">Meta Lead Ads - endpoint built, blocked on a permission</w:t>
            </w:r>
          </w:p>
        </w:tc>
        <w:tc>
          <w:tcPr>
            <w:tcW w:type="dxa" w:w="6760"/>
            <w:tcMar>
              <w:top w:type="dxa" w:w="80"/>
              <w:left w:type="dxa" w:w="100"/>
              <w:bottom w:type="dxa" w:w="80"/>
              <w:right w:type="dxa" w:w="100"/>
            </w:tcMar>
          </w:tcPr>
          <w:p>
            <w:r>
              <w:rPr>
                <w:b w:val="false"/>
                <w:bCs w:val="false"/>
                <w:color w:val="000000"/>
                <w:sz w:val="20"/>
                <w:szCs w:val="20"/>
              </w:rPr>
              <w:t xml:space="preserve">Webhook receiver live at /api/meta-webhook (subscription handshake plus leadgen event handling, exchanging each leadgen_id for full lead data via the Graph API). Diagnosed why no Meta leads have appeared: the supplied access token is missing the pages_manage_ads permission required to read lead forms, and is very likely short-lived rather than a permanent Page or System User token. Needs a regenerated token from whoever manages the Meta Business account before this goes live.</w:t>
            </w:r>
          </w:p>
        </w:tc>
      </w:tr>
      <w:tr>
        <w:tc>
          <w:tcPr>
            <w:tcW w:type="dxa" w:w="2600"/>
            <w:tcMar>
              <w:top w:type="dxa" w:w="80"/>
              <w:left w:type="dxa" w:w="100"/>
              <w:bottom w:type="dxa" w:w="80"/>
              <w:right w:type="dxa" w:w="100"/>
            </w:tcMar>
          </w:tcPr>
          <w:p>
            <w:r>
              <w:rPr>
                <w:b w:val="false"/>
                <w:bCs w:val="false"/>
                <w:color w:val="000000"/>
                <w:sz w:val="20"/>
                <w:szCs w:val="20"/>
              </w:rPr>
              <w:t xml:space="preserve">Lead Capture screen now shows real data</w:t>
            </w:r>
          </w:p>
        </w:tc>
        <w:tc>
          <w:tcPr>
            <w:tcW w:type="dxa" w:w="6760"/>
            <w:tcMar>
              <w:top w:type="dxa" w:w="80"/>
              <w:left w:type="dxa" w:w="100"/>
              <w:bottom w:type="dxa" w:w="80"/>
              <w:right w:type="dxa" w:w="100"/>
            </w:tcMar>
          </w:tcPr>
          <w:p>
            <w:r>
              <w:rPr>
                <w:b w:val="false"/>
                <w:bCs w:val="false"/>
                <w:color w:val="000000"/>
                <w:sz w:val="20"/>
                <w:szCs w:val="20"/>
              </w:rPr>
              <w:t xml:space="preserve">The Unified Lead Inbox previously showed static placeholder data left over from before the intake pipeline existed. Rebuilt to render the real leads list from the API: live source-count chips, a source filter, a manual Housing.com sync button, 30-second auto-refresh, and real configuration, budget, and location columns. No fabricated lead-score column - that is a separate, later module.</w:t>
            </w:r>
          </w:p>
        </w:tc>
      </w:tr>
      <w:tr>
        <w:tc>
          <w:tcPr>
            <w:tcW w:type="dxa" w:w="2600"/>
            <w:tcMar>
              <w:top w:type="dxa" w:w="80"/>
              <w:left w:type="dxa" w:w="100"/>
              <w:bottom w:type="dxa" w:w="80"/>
              <w:right w:type="dxa" w:w="100"/>
            </w:tcMar>
          </w:tcPr>
          <w:p>
            <w:r>
              <w:rPr>
                <w:b w:val="false"/>
                <w:bCs w:val="false"/>
                <w:color w:val="000000"/>
                <w:sz w:val="20"/>
                <w:szCs w:val="20"/>
              </w:rPr>
              <w:t xml:space="preserve">Nationwide microlocation search (Google Places)</w:t>
            </w:r>
          </w:p>
        </w:tc>
        <w:tc>
          <w:tcPr>
            <w:tcW w:type="dxa" w:w="6760"/>
            <w:tcMar>
              <w:top w:type="dxa" w:w="80"/>
              <w:left w:type="dxa" w:w="100"/>
              <w:bottom w:type="dxa" w:w="80"/>
              <w:right w:type="dxa" w:w="100"/>
            </w:tcMar>
          </w:tcPr>
          <w:p>
            <w:r>
              <w:rPr>
                <w:b w:val="false"/>
                <w:bCs w:val="false"/>
                <w:color w:val="000000"/>
                <w:sz w:val="20"/>
                <w:szCs w:val="20"/>
              </w:rPr>
              <w:t xml:space="preserve">Filter Search and AI Search location boxes switched from OpenStreetMap Nominatim to Google Places API (New), called directly via REST. A business or landmark name now resolves anywhere in India, not just Maharashtra streets and localities.</w:t>
            </w:r>
          </w:p>
        </w:tc>
      </w:tr>
      <w:tr>
        <w:tc>
          <w:tcPr>
            <w:tcW w:type="dxa" w:w="2600"/>
            <w:tcMar>
              <w:top w:type="dxa" w:w="80"/>
              <w:left w:type="dxa" w:w="100"/>
              <w:bottom w:type="dxa" w:w="80"/>
              <w:right w:type="dxa" w:w="100"/>
            </w:tcMar>
          </w:tcPr>
          <w:p>
            <w:r>
              <w:rPr>
                <w:b w:val="false"/>
                <w:bCs w:val="false"/>
                <w:color w:val="000000"/>
                <w:sz w:val="20"/>
                <w:szCs w:val="20"/>
              </w:rPr>
              <w:t xml:space="preserve">Azure AI Search adopted for Filter Search</w:t>
            </w:r>
          </w:p>
        </w:tc>
        <w:tc>
          <w:tcPr>
            <w:tcW w:type="dxa" w:w="6760"/>
            <w:tcMar>
              <w:top w:type="dxa" w:w="80"/>
              <w:left w:type="dxa" w:w="100"/>
              <w:bottom w:type="dxa" w:w="80"/>
              <w:right w:type="dxa" w:w="100"/>
            </w:tcMar>
          </w:tcPr>
          <w:p>
            <w:r>
              <w:rPr>
                <w:b w:val="false"/>
                <w:bCs w:val="false"/>
                <w:color w:val="000000"/>
                <w:sz w:val="20"/>
                <w:szCs w:val="20"/>
              </w:rPr>
              <w:t xml:space="preserve">Real Azure AI Search resource wired in end-to-end: a suggester index (localities, builders, projects, weighted by real listing count) and a listings index (filterable and facetable on city, location, config, budget, possession, RERA). Configuration, Budget, and Possession filters all show a live count per option. A synonym map and Azure's built-in semantic ranker are configured on the index. Entirely inert and falls back to prior behavior when Azure credentials are not set.</w:t>
            </w:r>
          </w:p>
        </w:tc>
      </w:tr>
      <w:tr>
        <w:tc>
          <w:tcPr>
            <w:tcW w:type="dxa" w:w="2600"/>
            <w:tcMar>
              <w:top w:type="dxa" w:w="80"/>
              <w:left w:type="dxa" w:w="100"/>
              <w:bottom w:type="dxa" w:w="80"/>
              <w:right w:type="dxa" w:w="100"/>
            </w:tcMar>
          </w:tcPr>
          <w:p>
            <w:r>
              <w:rPr>
                <w:b w:val="false"/>
                <w:bCs w:val="false"/>
                <w:color w:val="000000"/>
                <w:sz w:val="20"/>
                <w:szCs w:val="20"/>
              </w:rPr>
              <w:t xml:space="preserve">Entity-aware quick search and suggester wired into the UI</w:t>
            </w:r>
          </w:p>
        </w:tc>
        <w:tc>
          <w:tcPr>
            <w:tcW w:type="dxa" w:w="6760"/>
            <w:tcMar>
              <w:top w:type="dxa" w:w="80"/>
              <w:left w:type="dxa" w:w="100"/>
              <w:bottom w:type="dxa" w:w="80"/>
              <w:right w:type="dxa" w:w="100"/>
            </w:tcMar>
          </w:tcPr>
          <w:p>
            <w:r>
              <w:rPr>
                <w:b w:val="false"/>
                <w:bCs w:val="false"/>
                <w:color w:val="000000"/>
                <w:sz w:val="20"/>
                <w:szCs w:val="20"/>
              </w:rPr>
              <w:t xml:space="preserve">A one-line search box above Filter Search's controls parses a full sentence into Location, Budget, Configuration, and Possession via Claude. The Azure suggester (our own inventory) now actually feeds both search boxes, ranked ahead of Google Places, closing a gap where the index existed but nothing consumed it.</w:t>
            </w:r>
          </w:p>
        </w:tc>
      </w:tr>
    </w:tbl>
    <w:p>
      <w:pPr>
        <w:spacing w:after="200"/>
      </w:pPr>
    </w:p>
    <w:p>
      <w:pPr>
        <w:pStyle w:val="Heading1"/>
        <w:spacing w:after="160" w:before="320"/>
      </w:pPr>
      <w:r>
        <w:t xml:space="preserve">3. Bugs Found and Fixed</w:t>
      </w:r>
    </w:p>
    <w:p>
      <w:pPr>
        <w:spacing w:after="120"/>
      </w:pPr>
      <w:r>
        <w:t xml:space="preserve">Found by testing against real live services and real data, not by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1F4E79" w:val="clear"/>
            <w:tcMar>
              <w:top w:type="dxa" w:w="80"/>
              <w:left w:type="dxa" w:w="100"/>
              <w:bottom w:type="dxa" w:w="80"/>
              <w:right w:type="dxa" w:w="100"/>
            </w:tcMar>
          </w:tcPr>
          <w:p>
            <w:r>
              <w:rPr>
                <w:b/>
                <w:bCs/>
                <w:color w:val="FFFFFF"/>
                <w:sz w:val="20"/>
                <w:szCs w:val="20"/>
              </w:rPr>
              <w:t xml:space="preserve">Bug</w:t>
            </w:r>
          </w:p>
        </w:tc>
        <w:tc>
          <w:tcPr>
            <w:tcW w:type="dxa" w:w="6460"/>
            <w:shd w:fill="1F4E79" w:val="clear"/>
            <w:tcMar>
              <w:top w:type="dxa" w:w="80"/>
              <w:left w:type="dxa" w:w="100"/>
              <w:bottom w:type="dxa" w:w="80"/>
              <w:right w:type="dxa" w:w="100"/>
            </w:tcMar>
          </w:tcPr>
          <w:p>
            <w:r>
              <w:rPr>
                <w:b/>
                <w:bCs/>
                <w:color w:val="FFFFFF"/>
                <w:sz w:val="20"/>
                <w:szCs w:val="20"/>
              </w:rPr>
              <w:t xml:space="preserve">What happened</w:t>
            </w:r>
          </w:p>
        </w:tc>
      </w:tr>
      <w:tr>
        <w:tc>
          <w:tcPr>
            <w:tcW w:type="dxa" w:w="2900"/>
            <w:tcMar>
              <w:top w:type="dxa" w:w="80"/>
              <w:left w:type="dxa" w:w="100"/>
              <w:bottom w:type="dxa" w:w="80"/>
              <w:right w:type="dxa" w:w="100"/>
            </w:tcMar>
          </w:tcPr>
          <w:p>
            <w:r>
              <w:rPr>
                <w:b w:val="false"/>
                <w:bCs w:val="false"/>
                <w:color w:val="000000"/>
                <w:sz w:val="20"/>
                <w:szCs w:val="20"/>
              </w:rPr>
              <w:t xml:space="preserve">Azure Suggest API returning empty fields</w:t>
            </w:r>
          </w:p>
        </w:tc>
        <w:tc>
          <w:tcPr>
            <w:tcW w:type="dxa" w:w="6460"/>
            <w:tcMar>
              <w:top w:type="dxa" w:w="80"/>
              <w:left w:type="dxa" w:w="100"/>
              <w:bottom w:type="dxa" w:w="80"/>
              <w:right w:type="dxa" w:w="100"/>
            </w:tcMar>
          </w:tcPr>
          <w:p>
            <w:r>
              <w:rPr>
                <w:b w:val="false"/>
                <w:bCs w:val="false"/>
                <w:color w:val="000000"/>
                <w:sz w:val="20"/>
                <w:szCs w:val="20"/>
              </w:rPr>
              <w:t xml:space="preserve">Only returns matched text by default without an explicit select parameter - caught immediately after wiring up real credentials.</w:t>
            </w:r>
          </w:p>
        </w:tc>
      </w:tr>
      <w:tr>
        <w:tc>
          <w:tcPr>
            <w:tcW w:type="dxa" w:w="2900"/>
            <w:tcMar>
              <w:top w:type="dxa" w:w="80"/>
              <w:left w:type="dxa" w:w="100"/>
              <w:bottom w:type="dxa" w:w="80"/>
              <w:right w:type="dxa" w:w="100"/>
            </w:tcMar>
          </w:tcPr>
          <w:p>
            <w:r>
              <w:rPr>
                <w:b w:val="false"/>
                <w:bCs w:val="false"/>
                <w:color w:val="000000"/>
                <w:sz w:val="20"/>
                <w:szCs w:val="20"/>
              </w:rPr>
              <w:t xml:space="preserve">Semantic-config schema error broke production</w:t>
            </w:r>
          </w:p>
        </w:tc>
        <w:tc>
          <w:tcPr>
            <w:tcW w:type="dxa" w:w="6460"/>
            <w:tcMar>
              <w:top w:type="dxa" w:w="80"/>
              <w:left w:type="dxa" w:w="100"/>
              <w:bottom w:type="dxa" w:w="80"/>
              <w:right w:type="dxa" w:w="100"/>
            </w:tcMar>
          </w:tcPr>
          <w:p>
            <w:r>
              <w:rPr>
                <w:b w:val="false"/>
                <w:bCs w:val="false"/>
                <w:color w:val="000000"/>
                <w:sz w:val="20"/>
                <w:szCs w:val="20"/>
              </w:rPr>
              <w:t xml:space="preserve">Wrong Azure property names caused an index-recreate path to delete the listings index and fail to recreate it, breaking search in production for several minutes - caught via live polling, root-caused, fixed, reconfirmed.</w:t>
            </w:r>
          </w:p>
        </w:tc>
      </w:tr>
      <w:tr>
        <w:tc>
          <w:tcPr>
            <w:tcW w:type="dxa" w:w="2900"/>
            <w:tcMar>
              <w:top w:type="dxa" w:w="80"/>
              <w:left w:type="dxa" w:w="100"/>
              <w:bottom w:type="dxa" w:w="80"/>
              <w:right w:type="dxa" w:w="100"/>
            </w:tcMar>
          </w:tcPr>
          <w:p>
            <w:r>
              <w:rPr>
                <w:b w:val="false"/>
                <w:bCs w:val="false"/>
                <w:color w:val="000000"/>
                <w:sz w:val="20"/>
                <w:szCs w:val="20"/>
              </w:rPr>
              <w:t xml:space="preserve">Synonym map attached to the wrong field</w:t>
            </w:r>
          </w:p>
        </w:tc>
        <w:tc>
          <w:tcPr>
            <w:tcW w:type="dxa" w:w="6460"/>
            <w:tcMar>
              <w:top w:type="dxa" w:w="80"/>
              <w:left w:type="dxa" w:w="100"/>
              <w:bottom w:type="dxa" w:w="80"/>
              <w:right w:type="dxa" w:w="100"/>
            </w:tcMar>
          </w:tcPr>
          <w:p>
            <w:r>
              <w:rPr>
                <w:b w:val="false"/>
                <w:bCs w:val="false"/>
                <w:color w:val="000000"/>
                <w:sz w:val="20"/>
                <w:szCs w:val="20"/>
              </w:rPr>
              <w:t xml:space="preserve">Was on the name and location fields (project and locality names, which never contain a BHK count) - a no-op. Moved to the config field, which actually holds the BHK value.</w:t>
            </w:r>
          </w:p>
        </w:tc>
      </w:tr>
      <w:tr>
        <w:tc>
          <w:tcPr>
            <w:tcW w:type="dxa" w:w="2900"/>
            <w:tcMar>
              <w:top w:type="dxa" w:w="80"/>
              <w:left w:type="dxa" w:w="100"/>
              <w:bottom w:type="dxa" w:w="80"/>
              <w:right w:type="dxa" w:w="100"/>
            </w:tcMar>
          </w:tcPr>
          <w:p>
            <w:r>
              <w:rPr>
                <w:b w:val="false"/>
                <w:bCs w:val="false"/>
                <w:color w:val="000000"/>
                <w:sz w:val="20"/>
                <w:szCs w:val="20"/>
              </w:rPr>
              <w:t xml:space="preserve">Non-Indian phone numbers silently dropped</w:t>
            </w:r>
          </w:p>
        </w:tc>
        <w:tc>
          <w:tcPr>
            <w:tcW w:type="dxa" w:w="6460"/>
            <w:tcMar>
              <w:top w:type="dxa" w:w="80"/>
              <w:left w:type="dxa" w:w="100"/>
              <w:bottom w:type="dxa" w:w="80"/>
              <w:right w:type="dxa" w:w="100"/>
            </w:tcMar>
          </w:tcPr>
          <w:p>
            <w:r>
              <w:rPr>
                <w:b w:val="false"/>
                <w:bCs w:val="false"/>
                <w:color w:val="000000"/>
                <w:sz w:val="20"/>
                <w:szCs w:val="20"/>
              </w:rPr>
              <w:t xml:space="preserve">The Housing.com live pull surfaced a real UAE-country-code lead that the phone normalizer was discarding as invalid. Fixed to keep the country code as the dedup key for non-Indian numbers instead of rejecting them.</w:t>
            </w:r>
          </w:p>
        </w:tc>
      </w:tr>
      <w:tr>
        <w:tc>
          <w:tcPr>
            <w:tcW w:type="dxa" w:w="2900"/>
            <w:tcMar>
              <w:top w:type="dxa" w:w="80"/>
              <w:left w:type="dxa" w:w="100"/>
              <w:bottom w:type="dxa" w:w="80"/>
              <w:right w:type="dxa" w:w="100"/>
            </w:tcMar>
          </w:tcPr>
          <w:p>
            <w:r>
              <w:rPr>
                <w:b w:val="false"/>
                <w:bCs w:val="false"/>
                <w:color w:val="000000"/>
                <w:sz w:val="20"/>
                <w:szCs w:val="20"/>
              </w:rPr>
              <w:t xml:space="preserve">Placeholder owner name leaking into lead names</w:t>
            </w:r>
          </w:p>
        </w:tc>
        <w:tc>
          <w:tcPr>
            <w:tcW w:type="dxa" w:w="6460"/>
            <w:tcMar>
              <w:top w:type="dxa" w:w="80"/>
              <w:left w:type="dxa" w:w="100"/>
              <w:bottom w:type="dxa" w:w="80"/>
              <w:right w:type="dxa" w:w="100"/>
            </w:tcMar>
          </w:tcPr>
          <w:p>
            <w:r>
              <w:rPr>
                <w:b w:val="false"/>
                <w:bCs w:val="false"/>
                <w:color w:val="000000"/>
                <w:sz w:val="20"/>
                <w:szCs w:val="20"/>
              </w:rPr>
              <w:t xml:space="preserve">Some Housing.com leads carry a literal placeholder string where the buyer's name should be - sanitized at intake so the inbox shows a clean blank instead of visible garbage.</w:t>
            </w:r>
          </w:p>
        </w:tc>
      </w:tr>
    </w:tbl>
    <w:p>
      <w:pPr>
        <w:spacing w:after="200"/>
      </w:pPr>
    </w:p>
    <w:p>
      <w:pPr>
        <w:pStyle w:val="Heading1"/>
        <w:spacing w:after="160" w:before="320"/>
      </w:pPr>
      <w:r>
        <w:t xml:space="preserve">4. Verification</w:t>
      </w:r>
    </w:p>
    <w:p>
      <w:pPr>
        <w:pStyle w:val="ListParagraph"/>
        <w:numPr>
          <w:ilvl w:val="0"/>
          <w:numId w:val="2"/>
        </w:numPr>
        <w:spacing w:after="60"/>
      </w:pPr>
      <w:r>
        <w:t xml:space="preserve">Housing.com: confirmed live against the real API - 14 real leads fetched (Asmi Legacy, Arkade Evoke, Mahindra Marina 64 Phase 3, AnchorPoint Aviara, Ariha Opulence, Kolte Patil Verve, and others), all ingested with correct name, phone, project, budget, and location; re-running the sync correctly flags all as duplicates.</w:t>
      </w:r>
    </w:p>
    <w:p>
      <w:pPr>
        <w:pStyle w:val="ListParagraph"/>
        <w:numPr>
          <w:ilvl w:val="0"/>
          <w:numId w:val="2"/>
        </w:numPr>
        <w:spacing w:after="60"/>
      </w:pPr>
      <w:r>
        <w:t xml:space="preserve">Dedup: a Meta-shaped test lead followed by a Housing-shaped lead on the same phone correctly merged into one record, keeping the first-seen name and filling in the project from the second touch.</w:t>
      </w:r>
    </w:p>
    <w:p>
      <w:pPr>
        <w:pStyle w:val="ListParagraph"/>
        <w:numPr>
          <w:ilvl w:val="0"/>
          <w:numId w:val="2"/>
        </w:numPr>
        <w:spacing w:after="60"/>
      </w:pPr>
      <w:r>
        <w:t xml:space="preserve">Lead Capture screen: confirmed rendering real data locally - source chips, filters, and all real leads displayed correctly with live budgets and locations.</w:t>
      </w:r>
    </w:p>
    <w:p>
      <w:pPr>
        <w:pStyle w:val="ListParagraph"/>
        <w:numPr>
          <w:ilvl w:val="0"/>
          <w:numId w:val="2"/>
        </w:numPr>
        <w:spacing w:after="60"/>
      </w:pPr>
      <w:r>
        <w:t xml:space="preserve">Meta: confirmed via the Graph API that the current access token authenticates and can see both Facebook pages, but is missing the pages_manage_ads permission required to read lead forms - diagnosed precisely, not just left as not working.</w:t>
      </w:r>
    </w:p>
    <w:p>
      <w:pPr>
        <w:pStyle w:val="Heading1"/>
        <w:spacing w:after="160" w:before="320"/>
      </w:pPr>
      <w:r>
        <w:t xml:space="preserve">5. Known Gaps / Blockers</w:t>
      </w:r>
    </w:p>
    <w:p>
      <w:pPr>
        <w:pStyle w:val="ListParagraph"/>
        <w:numPr>
          <w:ilvl w:val="0"/>
          <w:numId w:val="2"/>
        </w:numPr>
        <w:spacing w:after="60"/>
      </w:pPr>
      <w:r>
        <w:t xml:space="preserve">Meta Lead Ads: needs a regenerated access token with pages_manage_ads added - ideally a long-lived Page or System User token, since the current one is very likely short-lived. Once supplied, the webhook subscription itself still needs to be turned on in the Meta App Dashboard, pointed at /api/meta-webhook.</w:t>
      </w:r>
    </w:p>
    <w:p>
      <w:pPr>
        <w:pStyle w:val="ListParagraph"/>
        <w:numPr>
          <w:ilvl w:val="0"/>
          <w:numId w:val="2"/>
        </w:numPr>
        <w:spacing w:after="60"/>
      </w:pPr>
      <w:r>
        <w:t xml:space="preserve">Anthropic API credit balance is still exhausted - blocks AI Search, Load More, research, the Dubai market feature, and the natural-language filter box. This is a billing state, not a code defect.</w:t>
      </w:r>
    </w:p>
    <w:p>
      <w:pPr>
        <w:pStyle w:val="ListParagraph"/>
        <w:numPr>
          <w:ilvl w:val="0"/>
          <w:numId w:val="2"/>
        </w:numPr>
        <w:spacing w:after="60"/>
      </w:pPr>
      <w:r>
        <w:t xml:space="preserve">Lead Scoring is a separate, later timeline module - the Lead Capture screen intentionally shows no score column rather than a fabricated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2026-07-28T05:08:54.112Z</dcterms:created>
  <dcterms:modified xsi:type="dcterms:W3CDTF">2026-07-28T05:08:54.113Z</dcterms:modified>
</cp:coreProperties>
</file>

<file path=docProps/custom.xml><?xml version="1.0" encoding="utf-8"?>
<Properties xmlns="http://schemas.openxmlformats.org/officeDocument/2006/custom-properties" xmlns:vt="http://schemas.openxmlformats.org/officeDocument/2006/docPropsVTypes"/>
</file>