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4E79"/>
          <w:sz w:val="64"/>
          <w:szCs w:val="64"/>
        </w:rPr>
        <w:t xml:space="preserve">APEX TRADING</w:t>
      </w:r>
    </w:p>
    <w:p>
      <w:pPr>
        <w:spacing w:before="0" w:after="200"/>
        <w:jc w:val="center"/>
      </w:pPr>
      <w:r>
        <w:rPr>
          <w:rFonts w:ascii="Arial" w:cs="Arial" w:eastAsia="Arial" w:hAnsi="Arial"/>
          <w:b/>
          <w:bCs/>
          <w:color w:val="2E75B6"/>
          <w:sz w:val="40"/>
          <w:szCs w:val="40"/>
        </w:rPr>
        <w:t xml:space="preserve">Formation Complète en Trading Forex</w:t>
      </w:r>
    </w:p>
    <w:p>
      <w:pPr>
        <w:spacing w:before="0" w:after="200"/>
        <w:jc w:val="center"/>
      </w:pPr>
      <w:r>
        <w:rPr>
          <w:rFonts w:ascii="Arial" w:cs="Arial" w:eastAsia="Arial" w:hAnsi="Arial"/>
          <w:i/>
          <w:iCs/>
          <w:color w:val="666666"/>
          <w:sz w:val="28"/>
          <w:szCs w:val="28"/>
        </w:rPr>
        <w:t xml:space="preserve">De Débutant à Trader Institutionnel</w:t>
      </w:r>
    </w:p>
    <w:p>
      <w:pPr>
        <w:spacing w:before="400" w:after="200"/>
        <w:jc w:val="center"/>
      </w:pPr>
      <w:r>
        <w:rPr>
          <w:color w:val="2E75B6"/>
          <w:sz w:val="24"/>
          <w:szCs w:val="24"/>
        </w:rPr>
        <w:t xml:space="preserve">━━━━━━━━━━━━━━━━━━━━━━━━━━━━━━</w:t>
      </w:r>
    </w:p>
    <w:p>
      <w:pPr>
        <w:spacing w:before="200" w:after="2000"/>
        <w:jc w:val="center"/>
      </w:pPr>
      <w:r>
        <w:rPr>
          <w:rFonts w:ascii="Arial" w:cs="Arial" w:eastAsia="Arial" w:hAnsi="Arial"/>
          <w:color w:val="888888"/>
          <w:sz w:val="22"/>
          <w:szCs w:val="22"/>
        </w:rPr>
        <w:t xml:space="preserve">Version 2026 — Stratégie COT Institutionnelle</w:t>
      </w:r>
    </w:p>
    <w:p>
      <w:r>
        <w:br w:type="page"/>
      </w:r>
    </w:p>
    <w:p>
      <w:pPr>
        <w:pStyle w:val="Heading1"/>
      </w:pPr>
      <w:r>
        <w:t xml:space="preserve">Introduction — Bienvenue dans le Trading Institutionnel</w:t>
      </w:r>
    </w:p>
    <w:p>
      <w:pPr>
        <w:spacing w:before="200" w:after="200"/>
      </w:pPr>
      <w:r>
        <w:rPr>
          <w:sz w:val="24"/>
          <w:szCs w:val="24"/>
        </w:rPr>
        <w:t xml:space="preserve">Bienvenue dans cette formation. Si tu lis ces lignes, c'est que tu veux apprendre à trader comme les professionnels — pas comme les 90% de traders retail qui perdent de l'argent.</w:t>
      </w:r>
    </w:p>
    <w:p>
      <w:pPr>
        <w:spacing w:before="0" w:after="200"/>
      </w:pPr>
      <w:r>
        <w:rPr>
          <w:b/>
          <w:bCs/>
          <w:sz w:val="24"/>
          <w:szCs w:val="24"/>
        </w:rPr>
        <w:t xml:space="preserve">La vérité sur le trading de détail :</w:t>
      </w:r>
    </w:p>
    <w:p>
      <w:pPr>
        <w:pStyle w:val="ListParagraph"/>
        <w:numPr>
          <w:ilvl w:val="0"/>
          <w:numId w:val="2"/>
        </w:numPr>
      </w:pPr>
      <w:r>
        <w:t xml:space="preserve">90% des traders retail perdent de l'argent</w:t>
      </w:r>
    </w:p>
    <w:p>
      <w:pPr>
        <w:pStyle w:val="ListParagraph"/>
        <w:numPr>
          <w:ilvl w:val="0"/>
          <w:numId w:val="2"/>
        </w:numPr>
      </w:pPr>
      <w:r>
        <w:t xml:space="preserve">Ils tradent à l'encontre des institutions financières</w:t>
      </w:r>
    </w:p>
    <w:p>
      <w:pPr>
        <w:pStyle w:val="ListParagraph"/>
        <w:numPr>
          <w:ilvl w:val="0"/>
          <w:numId w:val="2"/>
        </w:numPr>
      </w:pPr>
      <w:r>
        <w:t xml:space="preserve">Ils utilisent des indicateurs techniques qui n'ont aucun avantage statistique</w:t>
      </w:r>
    </w:p>
    <w:p>
      <w:pPr>
        <w:pStyle w:val="ListParagraph"/>
        <w:numPr>
          <w:ilvl w:val="0"/>
          <w:numId w:val="2"/>
        </w:numPr>
      </w:pPr>
      <w:r>
        <w:t xml:space="preserve">Ils suivent les nouvelles sans comprendre les positions réelles du marché</w:t>
      </w:r>
    </w:p>
    <w:p>
      <w:pPr>
        <w:spacing w:before="200" w:after="200"/>
      </w:pPr>
      <w:r>
        <w:rPr>
          <w:sz w:val="24"/>
          <w:szCs w:val="24"/>
        </w:rPr>
        <w:t xml:space="preserve">Cette formation t'apprendra à faire le contraire — à lire ce que font les hedge funds et les grandes institutions, et à trader dans leur direction au bon moment.</w:t>
      </w:r>
    </w:p>
    <w:p>
      <w:pPr>
        <w:spacing w:before="0" w:after="200"/>
      </w:pPr>
      <w:r>
        <w:rPr>
          <w:b/>
          <w:bCs/>
          <w:sz w:val="24"/>
          <w:szCs w:val="24"/>
        </w:rPr>
        <w:t xml:space="preserve">Ce que tu vas apprendre :</w:t>
      </w:r>
    </w:p>
    <w:p>
      <w:pPr>
        <w:pStyle w:val="ListParagraph"/>
        <w:numPr>
          <w:ilvl w:val="0"/>
          <w:numId w:val="3"/>
        </w:numPr>
      </w:pPr>
      <w:r>
        <w:t xml:space="preserve">Comment fonctionnent les marchés Forex</w:t>
      </w:r>
    </w:p>
    <w:p>
      <w:pPr>
        <w:pStyle w:val="ListParagraph"/>
        <w:numPr>
          <w:ilvl w:val="0"/>
          <w:numId w:val="3"/>
        </w:numPr>
      </w:pPr>
      <w:r>
        <w:t xml:space="preserve">Lire le rapport COT pour suivre les hedge funds</w:t>
      </w:r>
    </w:p>
    <w:p>
      <w:pPr>
        <w:pStyle w:val="ListParagraph"/>
        <w:numPr>
          <w:ilvl w:val="0"/>
          <w:numId w:val="3"/>
        </w:numPr>
      </w:pPr>
      <w:r>
        <w:t xml:space="preserve">Analyser le contexte macro-économique</w:t>
      </w:r>
    </w:p>
    <w:p>
      <w:pPr>
        <w:pStyle w:val="ListParagraph"/>
        <w:numPr>
          <w:ilvl w:val="0"/>
          <w:numId w:val="3"/>
        </w:numPr>
      </w:pPr>
      <w:r>
        <w:t xml:space="preserve">Utiliser les indicateurs techniques institutionnels</w:t>
      </w:r>
    </w:p>
    <w:p>
      <w:pPr>
        <w:pStyle w:val="ListParagraph"/>
        <w:numPr>
          <w:ilvl w:val="0"/>
          <w:numId w:val="3"/>
        </w:numPr>
      </w:pPr>
      <w:r>
        <w:t xml:space="preserve">Trader à contre-courant du retail de façon rentable</w:t>
      </w:r>
    </w:p>
    <w:p>
      <w:pPr>
        <w:pStyle w:val="ListParagraph"/>
        <w:numPr>
          <w:ilvl w:val="0"/>
          <w:numId w:val="3"/>
        </w:numPr>
      </w:pPr>
      <w:r>
        <w:t xml:space="preserve">Gérer son risque et ses positions professionnellement</w:t>
      </w:r>
    </w:p>
    <w:p>
      <w:r>
        <w:br w:type="page"/>
      </w:r>
    </w:p>
    <w:p>
      <w:pPr>
        <w:pStyle w:val="Heading1"/>
      </w:pPr>
      <w:r>
        <w:t xml:space="preserve">Module 1 — Les Bases du Marché Forex</w:t>
      </w:r>
    </w:p>
    <w:p>
      <w:pPr>
        <w:pStyle w:val="Heading2"/>
      </w:pPr>
      <w:r>
        <w:t xml:space="preserve">1.1 Qu'est-ce que le Forex ?</w:t>
      </w:r>
    </w:p>
    <w:p>
      <w:pPr>
        <w:spacing w:before="200" w:after="200"/>
      </w:pPr>
      <w:r>
        <w:t xml:space="preserve">Le Forex (Foreign Exchange) est le marché mondial d'échange des devises. C'est le plus grand marché financier au monde avec plus de 7 000 milliards de dollars échangés chaque jour — soit 10 fois la bourse américaine.</w:t>
      </w:r>
    </w:p>
    <w:p>
      <w:pPr>
        <w:spacing w:before="0" w:after="100"/>
      </w:pPr>
      <w:r>
        <w:rPr>
          <w:b/>
          <w:bCs/>
        </w:rPr>
        <w:t xml:space="preserve">Les participants au marché :</w:t>
      </w:r>
    </w:p>
    <w:p>
      <w:pPr>
        <w:pStyle w:val="ListParagraph"/>
        <w:numPr>
          <w:ilvl w:val="0"/>
          <w:numId w:val="2"/>
        </w:numPr>
      </w:pPr>
      <w:r>
        <w:rPr>
          <w:b/>
          <w:bCs/>
        </w:rPr>
        <w:t xml:space="preserve">Banques centrales (Fed, BCE, BOJ) — </w:t>
      </w:r>
      <w:r>
        <w:t xml:space="preserve">fixent les taux d'intérêt et influencent les devises</w:t>
      </w:r>
    </w:p>
    <w:p>
      <w:pPr>
        <w:pStyle w:val="ListParagraph"/>
        <w:numPr>
          <w:ilvl w:val="0"/>
          <w:numId w:val="2"/>
        </w:numPr>
      </w:pPr>
      <w:r>
        <w:rPr>
          <w:b/>
          <w:bCs/>
        </w:rPr>
        <w:t xml:space="preserve">Hedge funds et institutions — </w:t>
      </w:r>
      <w:r>
        <w:t xml:space="preserve">les vrais mouveurs du marché, gèrent des milliards</w:t>
      </w:r>
    </w:p>
    <w:p>
      <w:pPr>
        <w:pStyle w:val="ListParagraph"/>
        <w:numPr>
          <w:ilvl w:val="0"/>
          <w:numId w:val="2"/>
        </w:numPr>
      </w:pPr>
      <w:r>
        <w:rPr>
          <w:b/>
          <w:bCs/>
        </w:rPr>
        <w:t xml:space="preserve">Banques commerciales — </w:t>
      </w:r>
      <w:r>
        <w:t xml:space="preserve">facilitent les échanges pour leurs clients</w:t>
      </w:r>
    </w:p>
    <w:p>
      <w:pPr>
        <w:pStyle w:val="ListParagraph"/>
        <w:numPr>
          <w:ilvl w:val="0"/>
          <w:numId w:val="2"/>
        </w:numPr>
      </w:pPr>
      <w:r>
        <w:rPr>
          <w:b/>
          <w:bCs/>
        </w:rPr>
        <w:t xml:space="preserve">Traders retail (toi) — </w:t>
      </w:r>
      <w:r>
        <w:t xml:space="preserve">représentent moins de 5% du volume total</w:t>
      </w:r>
    </w:p>
    <w:p>
      <w:pPr>
        <w:pStyle w:val="Heading2"/>
      </w:pPr>
      <w:r>
        <w:t xml:space="preserve">1.2 Les Paires de Devises</w:t>
      </w:r>
    </w:p>
    <w:p>
      <w:pPr>
        <w:spacing w:before="200" w:after="200"/>
      </w:pPr>
      <w:r>
        <w:t xml:space="preserve">Une paire de devises représente le prix d'une devise par rapport à une autre. Par exemple, EUR/CAD = 1.56 signifie que 1 Euro vaut 1.56 Dollar Canadien.</w:t>
      </w:r>
    </w:p>
    <w:p>
      <w:pPr>
        <w:spacing w:before="0" w:after="100"/>
      </w:pPr>
      <w:r>
        <w:rPr>
          <w:b/>
          <w:bCs/>
        </w:rPr>
        <w:t xml:space="preserve">Les 3 catégories de paires :</w:t>
      </w:r>
    </w:p>
    <w:p>
      <w:pPr>
        <w:pStyle w:val="ListParagraph"/>
        <w:numPr>
          <w:ilvl w:val="0"/>
          <w:numId w:val="2"/>
        </w:numPr>
      </w:pPr>
      <w:r>
        <w:rPr>
          <w:b/>
          <w:bCs/>
        </w:rPr>
        <w:t xml:space="preserve">Majeures — </w:t>
      </w:r>
      <w:r>
        <w:t xml:space="preserve">EUR/USD, GBP/USD, USD/JPY — très liquides, spreads serrés</w:t>
      </w:r>
    </w:p>
    <w:p>
      <w:pPr>
        <w:pStyle w:val="ListParagraph"/>
        <w:numPr>
          <w:ilvl w:val="0"/>
          <w:numId w:val="2"/>
        </w:numPr>
      </w:pPr>
      <w:r>
        <w:rPr>
          <w:b/>
          <w:bCs/>
        </w:rPr>
        <w:t xml:space="preserve">Crosses — </w:t>
      </w:r>
      <w:r>
        <w:t xml:space="preserve">EUR/CAD, GBP/JPY, AUD/NZD — pas de USD, plus de volatilité</w:t>
      </w:r>
    </w:p>
    <w:p>
      <w:pPr>
        <w:pStyle w:val="ListParagraph"/>
        <w:numPr>
          <w:ilvl w:val="0"/>
          <w:numId w:val="2"/>
        </w:numPr>
      </w:pPr>
      <w:r>
        <w:rPr>
          <w:b/>
          <w:bCs/>
        </w:rPr>
        <w:t xml:space="preserve">Exotiques — </w:t>
      </w:r>
      <w:r>
        <w:t xml:space="preserve">USD/MXN, EUR/TRY — moins liquides, spreads larges</w:t>
      </w:r>
    </w:p>
    <w:p>
      <w:pPr>
        <w:pStyle w:val="Heading2"/>
      </w:pPr>
      <w:r>
        <w:t xml:space="preserve">1.3 Les Sessions de Trading</w:t>
      </w:r>
    </w:p>
    <w:p>
      <w:pPr>
        <w:spacing w:before="200" w:after="200"/>
      </w:pPr>
      <w:r>
        <w:t xml:space="preserve">Le Forex est ouvert 24h/24, 5 jours/7. Mais toutes les heures ne sont pas égales — la liquidité et la volatilité varient selon les sessions.</w:t>
      </w:r>
    </w:p>
    <w:p>
      <w:pPr>
        <w:pStyle w:val="ListParagraph"/>
        <w:numPr>
          <w:ilvl w:val="0"/>
          <w:numId w:val="2"/>
        </w:numPr>
      </w:pPr>
      <w:r>
        <w:rPr>
          <w:b/>
          <w:bCs/>
        </w:rPr>
        <w:t xml:space="preserve">Sydney (22h00 - 07h00 UTC) — </w:t>
      </w:r>
      <w:r>
        <w:t xml:space="preserve">faible volume, AUD et NZD actifs</w:t>
      </w:r>
    </w:p>
    <w:p>
      <w:pPr>
        <w:pStyle w:val="ListParagraph"/>
        <w:numPr>
          <w:ilvl w:val="0"/>
          <w:numId w:val="2"/>
        </w:numPr>
      </w:pPr>
      <w:r>
        <w:rPr>
          <w:b/>
          <w:bCs/>
        </w:rPr>
        <w:t xml:space="preserve">Tokyo (00h00 - 09h00 UTC) — </w:t>
      </w:r>
      <w:r>
        <w:t xml:space="preserve">JPY très actif, mouvements techniques</w:t>
      </w:r>
    </w:p>
    <w:p>
      <w:pPr>
        <w:pStyle w:val="ListParagraph"/>
        <w:numPr>
          <w:ilvl w:val="0"/>
          <w:numId w:val="2"/>
        </w:numPr>
      </w:pPr>
      <w:r>
        <w:rPr>
          <w:b/>
          <w:bCs/>
        </w:rPr>
        <w:t xml:space="preserve">Londres (08h00 - 17h00 UTC) — </w:t>
      </w:r>
      <w:r>
        <w:t xml:space="preserve">plus gros volume, EUR/GBP/CHF actifs</w:t>
      </w:r>
    </w:p>
    <w:p>
      <w:pPr>
        <w:pStyle w:val="ListParagraph"/>
        <w:numPr>
          <w:ilvl w:val="0"/>
          <w:numId w:val="2"/>
        </w:numPr>
      </w:pPr>
      <w:r>
        <w:rPr>
          <w:b/>
          <w:bCs/>
        </w:rPr>
        <w:t xml:space="preserve">New York (13h00 - 22h00 UTC) — </w:t>
      </w:r>
      <w:r>
        <w:t xml:space="preserve">USD très actif, chevauchement London/NY = meilleure liquidité</w:t>
      </w:r>
    </w:p>
    <w:p>
      <w:pPr>
        <w:spacing w:before="200" w:after="200"/>
      </w:pPr>
      <w:r>
        <w:rPr>
          <w:b/>
          <w:bCs/>
          <w:color w:val="2E75B6"/>
        </w:rPr>
        <w:t xml:space="preserve">💡 Conseil : </w:t>
      </w:r>
      <w:r>
        <w:t xml:space="preserve">Les meilleurs mouvements arrivent pendant le chevauchement London/New York (13h00 - 17h00 UTC) — c'est là que les institutions sont les plus actives.</w:t>
      </w:r>
    </w:p>
    <w:p>
      <w:r>
        <w:br w:type="page"/>
      </w:r>
    </w:p>
    <w:p>
      <w:pPr>
        <w:pStyle w:val="Heading1"/>
      </w:pPr>
      <w:r>
        <w:t xml:space="preserve">Module 2 — Le Rapport COT : Suivre les Hedge Funds</w:t>
      </w:r>
    </w:p>
    <w:p>
      <w:pPr>
        <w:pStyle w:val="Heading2"/>
      </w:pPr>
      <w:r>
        <w:t xml:space="preserve">2.1 Qu'est-ce que le rapport COT ?</w:t>
      </w:r>
    </w:p>
    <w:p>
      <w:pPr>
        <w:spacing w:before="200" w:after="200"/>
      </w:pPr>
      <w:r>
        <w:t xml:space="preserve">Le COT (Commitments of Traders) est un rapport publié chaque vendredi à 21h30 UTC par la CFTC (Commission de Trading des Futures aux États-Unis). Il révèle les positions réelles de TOUS les grands acteurs du marché.</w:t>
      </w:r>
    </w:p>
    <w:p>
      <w:pPr>
        <w:spacing w:before="0" w:after="200"/>
      </w:pPr>
      <w:r>
        <w:rPr>
          <w:i/>
          <w:iCs/>
          <w:color w:val="2E75B6"/>
        </w:rPr>
        <w:t xml:space="preserve">C'est comme avoir accès aux carnets de commandes des hedge funds. Imagine que tu puisses voir ce que Goldman Sachs, Bridgewater et les plus grands fonds du monde achètent et vendent — c'est exactement ce que donne le COT.</w:t>
      </w:r>
    </w:p>
    <w:p>
      <w:pPr>
        <w:pStyle w:val="Heading2"/>
      </w:pPr>
      <w:r>
        <w:t xml:space="preserve">2.2 Les 3 catégories du COT</w:t>
      </w:r>
    </w:p>
    <w:p>
      <w:pPr>
        <w:spacing w:before="200" w:after="100"/>
      </w:pPr>
      <w:r>
        <w:rPr>
          <w:b/>
          <w:bCs/>
        </w:rPr>
        <w:t xml:space="preserve">Commerciaux (Hedgers) :</w:t>
      </w:r>
    </w:p>
    <w:p>
      <w:pPr>
        <w:spacing w:before="0" w:after="200"/>
      </w:pPr>
      <w:r>
        <w:t xml:space="preserve">Ce sont les banques et entreprises qui utilisent le Forex pour se couvrir contre les risques de change. Ils ne spéculent pas — ils se protègent. Leurs positions sont souvent inverses à la tendance et ne sont pas utiles pour notre stratégie.</w:t>
      </w:r>
    </w:p>
    <w:p>
      <w:pPr>
        <w:spacing w:before="0" w:after="100"/>
      </w:pPr>
      <w:r>
        <w:rPr>
          <w:b/>
          <w:bCs/>
          <w:color w:val="1F4E79"/>
        </w:rPr>
        <w:t xml:space="preserve">Leveraged Money (Hedge Funds) — LA CLÉ :</w:t>
      </w:r>
    </w:p>
    <w:p>
      <w:pPr>
        <w:spacing w:before="0" w:after="200"/>
      </w:pPr>
      <w:r>
        <w:t xml:space="preserve">Ce sont les hedge funds, CTA et fonds spéculatifs. Ils ont accès aux meilleures analyses macro-économiques, aux équipes de recherche les plus performantes, et gèrent des milliards de dollars. Ce sont EUX qui font bouger les marchés. Quand ils prennent une position massive, le prix suit.</w:t>
      </w:r>
    </w:p>
    <w:p>
      <w:pPr>
        <w:spacing w:before="0" w:after="100"/>
      </w:pPr>
      <w:r>
        <w:rPr>
          <w:b/>
          <w:bCs/>
        </w:rPr>
        <w:t xml:space="preserve">Non-Reportables (Small Speculators) :</w:t>
      </w:r>
    </w:p>
    <w:p>
      <w:pPr>
        <w:spacing w:before="0" w:after="200"/>
      </w:pPr>
      <w:r>
        <w:t xml:space="preserve">Ce sont les petits spéculateurs — des traders comme nous mais sur les marchés futures. Ils ont historiquement tort aux extrêmes. Quand ils sont massivement d'un côté, le marché a tendance à aller dans l'autre direction.</w:t>
      </w:r>
    </w:p>
    <w:p>
      <w:pPr>
        <w:pStyle w:val="Heading2"/>
      </w:pPr>
      <w:r>
        <w:t xml:space="preserve">2.3 Le COT Extrême — Notre Indicateur Principal</w:t>
      </w:r>
    </w:p>
    <w:p>
      <w:pPr>
        <w:spacing w:before="200" w:after="200"/>
      </w:pPr>
      <w:r>
        <w:t xml:space="preserve">La vraie puissance du COT ne vient pas de savoir si les hedge funds sont long ou short — tout le monde peut le voir. La puissance vient de savoir si leur position est EXTRÊME par rapport à leur historique.</w:t>
      </w:r>
    </w:p>
    <w:p>
      <w:pPr>
        <w:spacing w:before="0" w:after="100"/>
      </w:pPr>
      <w:r>
        <w:rPr>
          <w:b/>
          <w:bCs/>
        </w:rPr>
        <w:t xml:space="preserve">Pourquoi les extrêmes sont importants :</w:t>
      </w:r>
    </w:p>
    <w:p>
      <w:pPr>
        <w:pStyle w:val="ListParagraph"/>
        <w:numPr>
          <w:ilvl w:val="0"/>
          <w:numId w:val="2"/>
        </w:numPr>
      </w:pPr>
      <w:r>
        <w:t xml:space="preserve">Quand les hedge funds atteignent une position extrême, ils ont déjà massivement acheté ou vendu</w:t>
      </w:r>
    </w:p>
    <w:p>
      <w:pPr>
        <w:pStyle w:val="ListParagraph"/>
        <w:numPr>
          <w:ilvl w:val="0"/>
          <w:numId w:val="2"/>
        </w:numPr>
      </w:pPr>
      <w:r>
        <w:t xml:space="preserve">Ils ne peuvent plus pousser indéfiniment — ils manquent de munitions</w:t>
      </w:r>
    </w:p>
    <w:p>
      <w:pPr>
        <w:pStyle w:val="ListParagraph"/>
        <w:numPr>
          <w:ilvl w:val="0"/>
          <w:numId w:val="2"/>
        </w:numPr>
      </w:pPr>
      <w:r>
        <w:t xml:space="preserve">Si en plus leur position ACCÉLÈRE dans cette direction — ils ont une conviction très forte</w:t>
      </w:r>
    </w:p>
    <w:p>
      <w:pPr>
        <w:pStyle w:val="ListParagraph"/>
        <w:numPr>
          <w:ilvl w:val="0"/>
          <w:numId w:val="2"/>
        </w:numPr>
      </w:pPr>
      <w:r>
        <w:t xml:space="preserve">Historiquement sur 3+ ans, ces setups ont un win rate de 70-88% selon la paire</w:t>
      </w:r>
    </w:p>
    <w:p>
      <w:pPr>
        <w:spacing w:before="200" w:after="100"/>
      </w:pPr>
      <w:r>
        <w:rPr>
          <w:b/>
          <w:bCs/>
        </w:rPr>
        <w:t xml:space="preserve">Le calcul de la Position Relative (RelPos) :</w:t>
      </w:r>
    </w:p>
    <w:p>
      <w:pPr>
        <w:spacing w:before="0" w:after="200"/>
      </w:pPr>
      <w:r>
        <w:t xml:space="preserve">RelPos = (Net actuel - Min 52 semaines) / (Max 52 semaines - Min 52 semaines) × 100</w:t>
      </w:r>
    </w:p>
    <w:p>
      <w:pPr>
        <w:pStyle w:val="ListParagraph"/>
        <w:numPr>
          <w:ilvl w:val="0"/>
          <w:numId w:val="2"/>
        </w:numPr>
      </w:pPr>
      <w:r>
        <w:rPr>
          <w:b/>
          <w:bCs/>
          <w:color w:val="2E75B6"/>
        </w:rPr>
        <w:t xml:space="preserve">RelPos ≥ 80% + accélération positive = signal BULLISH</w:t>
      </w:r>
    </w:p>
    <w:p>
      <w:pPr>
        <w:pStyle w:val="ListParagraph"/>
        <w:numPr>
          <w:ilvl w:val="0"/>
          <w:numId w:val="2"/>
        </w:numPr>
      </w:pPr>
      <w:r>
        <w:rPr>
          <w:b/>
          <w:bCs/>
          <w:color w:val="C00000"/>
        </w:rPr>
        <w:t xml:space="preserve">RelPos ≤ 20% + accélération négative = signal BEARISH</w:t>
      </w:r>
    </w:p>
    <w:p>
      <w:pPr>
        <w:pStyle w:val="ListParagraph"/>
        <w:numPr>
          <w:ilvl w:val="0"/>
          <w:numId w:val="2"/>
        </w:numPr>
      </w:pPr>
      <w:r>
        <w:t xml:space="preserve">Entre 20% et 80% = zone neutre = pas de signal</w:t>
      </w:r>
    </w:p>
    <w:p>
      <w:pPr>
        <w:spacing w:before="200" w:after="200"/>
      </w:pPr>
      <w:r>
        <w:rPr>
          <w:b/>
          <w:bCs/>
          <w:color w:val="2E75B6"/>
        </w:rPr>
        <w:t xml:space="preserve">💡 Exemple concret — EURCAD Mars 2026 :</w:t>
      </w:r>
      <w:r>
        <w:t xml:space="preserve"> EUR RelPos = 17.6% (extrême BEARISH) + accélération = -17,236 (s'intensifie) → Signal BEARISH confirmé. Le prix a suivi.</w:t>
      </w:r>
    </w:p>
    <w:p>
      <w:r>
        <w:br w:type="page"/>
      </w:r>
    </w:p>
    <w:p>
      <w:pPr>
        <w:pStyle w:val="Heading1"/>
      </w:pPr>
      <w:r>
        <w:t xml:space="preserve">Module 3 — La Macro-Économie pour les Traders</w:t>
      </w:r>
    </w:p>
    <w:p>
      <w:pPr>
        <w:pStyle w:val="Heading2"/>
      </w:pPr>
      <w:r>
        <w:t xml:space="preserve">3.1 Pourquoi la macro-économie est cruciale</w:t>
      </w:r>
    </w:p>
    <w:p>
      <w:pPr>
        <w:spacing w:before="200" w:after="200"/>
      </w:pPr>
      <w:r>
        <w:t xml:space="preserve">Le Forex est un marché macro par excellence. Les devises bougent en fonction des différentiels de taux d'intérêt, de la croissance économique, de l'inflation et des politiques des banques centrales. Ignorer la macro c'est trader à l'aveugle.</w:t>
      </w:r>
    </w:p>
    <w:p>
      <w:pPr>
        <w:pStyle w:val="Heading2"/>
      </w:pPr>
      <w:r>
        <w:t xml:space="preserve">3.2 Les Banques Centrales — Le Moteur des Devises</w:t>
      </w:r>
    </w:p>
    <w:p>
      <w:pPr>
        <w:spacing w:before="200" w:after="100"/>
      </w:pPr>
      <w:r>
        <w:rPr>
          <w:b/>
          <w:bCs/>
        </w:rPr>
        <w:t xml:space="preserve">Hawkish vs Dovish :</w:t>
      </w:r>
    </w:p>
    <w:p>
      <w:pPr>
        <w:pStyle w:val="ListParagraph"/>
        <w:numPr>
          <w:ilvl w:val="0"/>
          <w:numId w:val="2"/>
        </w:numPr>
      </w:pPr>
      <w:r>
        <w:rPr>
          <w:b/>
          <w:bCs/>
        </w:rPr>
        <w:t xml:space="preserve">Hawkish — </w:t>
      </w:r>
      <w:r>
        <w:t xml:space="preserve">banque centrale qui veut monter les taux → devise forte. Exemple : Fed hawkish = USD fort</w:t>
      </w:r>
    </w:p>
    <w:p>
      <w:pPr>
        <w:pStyle w:val="ListParagraph"/>
        <w:numPr>
          <w:ilvl w:val="0"/>
          <w:numId w:val="2"/>
        </w:numPr>
      </w:pPr>
      <w:r>
        <w:rPr>
          <w:b/>
          <w:bCs/>
        </w:rPr>
        <w:t xml:space="preserve">Dovish — </w:t>
      </w:r>
      <w:r>
        <w:t xml:space="preserve">banque centrale accommodante qui baisse les taux → devise faible. Exemple : BCE dovish = EUR faible</w:t>
      </w:r>
    </w:p>
    <w:p>
      <w:pPr>
        <w:spacing w:before="200" w:after="100"/>
      </w:pPr>
      <w:r>
        <w:rPr>
          <w:b/>
          <w:bCs/>
        </w:rPr>
        <w:t xml:space="preserve">Les principales banques centrales :</w:t>
      </w:r>
    </w:p>
    <w:p>
      <w:pPr>
        <w:pStyle w:val="ListParagraph"/>
        <w:numPr>
          <w:ilvl w:val="0"/>
          <w:numId w:val="2"/>
        </w:numPr>
      </w:pPr>
      <w:r>
        <w:rPr>
          <w:b/>
          <w:bCs/>
        </w:rPr>
        <w:t xml:space="preserve">Fed (USD) — </w:t>
      </w:r>
      <w:r>
        <w:t xml:space="preserve">Federal Reserve, États-Unis</w:t>
      </w:r>
    </w:p>
    <w:p>
      <w:pPr>
        <w:pStyle w:val="ListParagraph"/>
        <w:numPr>
          <w:ilvl w:val="0"/>
          <w:numId w:val="2"/>
        </w:numPr>
      </w:pPr>
      <w:r>
        <w:rPr>
          <w:b/>
          <w:bCs/>
        </w:rPr>
        <w:t xml:space="preserve">BCE (EUR) — </w:t>
      </w:r>
      <w:r>
        <w:t xml:space="preserve">Banque Centrale Européenne</w:t>
      </w:r>
    </w:p>
    <w:p>
      <w:pPr>
        <w:pStyle w:val="ListParagraph"/>
        <w:numPr>
          <w:ilvl w:val="0"/>
          <w:numId w:val="2"/>
        </w:numPr>
      </w:pPr>
      <w:r>
        <w:rPr>
          <w:b/>
          <w:bCs/>
        </w:rPr>
        <w:t xml:space="preserve">BOJ (JPY) — </w:t>
      </w:r>
      <w:r>
        <w:t xml:space="preserve">Bank of Japan</w:t>
      </w:r>
    </w:p>
    <w:p>
      <w:pPr>
        <w:pStyle w:val="ListParagraph"/>
        <w:numPr>
          <w:ilvl w:val="0"/>
          <w:numId w:val="2"/>
        </w:numPr>
      </w:pPr>
      <w:r>
        <w:rPr>
          <w:b/>
          <w:bCs/>
        </w:rPr>
        <w:t xml:space="preserve">BOC (CAD) — </w:t>
      </w:r>
      <w:r>
        <w:t xml:space="preserve">Bank of Canada</w:t>
      </w:r>
    </w:p>
    <w:p>
      <w:pPr>
        <w:pStyle w:val="ListParagraph"/>
        <w:numPr>
          <w:ilvl w:val="0"/>
          <w:numId w:val="2"/>
        </w:numPr>
      </w:pPr>
      <w:r>
        <w:rPr>
          <w:b/>
          <w:bCs/>
        </w:rPr>
        <w:t xml:space="preserve">BOE (GBP) — </w:t>
      </w:r>
      <w:r>
        <w:t xml:space="preserve">Bank of England</w:t>
      </w:r>
    </w:p>
    <w:p>
      <w:pPr>
        <w:pStyle w:val="Heading2"/>
      </w:pPr>
      <w:r>
        <w:t xml:space="preserve">3.3 Les Indicateurs Macro Essentiels</w:t>
      </w:r>
    </w:p>
    <w:p>
      <w:pPr>
        <w:spacing w:before="200" w:after="100"/>
      </w:pPr>
      <w:r>
        <w:rPr>
          <w:b/>
          <w:bCs/>
        </w:rPr>
        <w:t xml:space="preserve">VIX — L'indice de peur :</w:t>
      </w:r>
    </w:p>
    <w:p>
      <w:pPr>
        <w:spacing w:before="0" w:after="200"/>
      </w:pPr>
      <w:r>
        <w:t xml:space="preserve">Le VIX mesure la volatilité implicite du marché américain. Un VIX élevé = panique = Risk Off = les investisseurs fuient vers les valeurs refuges (JPY, CHF, or). Un VIX bas = confiance = Risk On = appétit pour les actifs risqués (AUD, NZD, actions).</w:t>
      </w:r>
    </w:p>
    <w:p>
      <w:pPr>
        <w:pStyle w:val="ListParagraph"/>
        <w:numPr>
          <w:ilvl w:val="0"/>
          <w:numId w:val="2"/>
        </w:numPr>
      </w:pPr>
      <w:r>
        <w:rPr>
          <w:b/>
          <w:bCs/>
        </w:rPr>
        <w:t xml:space="preserve">VIX &lt; 15 — </w:t>
      </w:r>
      <w:r>
        <w:t xml:space="preserve">marché calme, Risk On</w:t>
      </w:r>
    </w:p>
    <w:p>
      <w:pPr>
        <w:pStyle w:val="ListParagraph"/>
        <w:numPr>
          <w:ilvl w:val="0"/>
          <w:numId w:val="2"/>
        </w:numPr>
      </w:pPr>
      <w:r>
        <w:rPr>
          <w:b/>
          <w:bCs/>
        </w:rPr>
        <w:t xml:space="preserve">VIX 15-25 — </w:t>
      </w:r>
      <w:r>
        <w:t xml:space="preserve">zone normale</w:t>
      </w:r>
    </w:p>
    <w:p>
      <w:pPr>
        <w:pStyle w:val="ListParagraph"/>
        <w:numPr>
          <w:ilvl w:val="0"/>
          <w:numId w:val="2"/>
        </w:numPr>
      </w:pPr>
      <w:r>
        <w:rPr>
          <w:b/>
          <w:bCs/>
        </w:rPr>
        <w:t xml:space="preserve">VIX &gt; 25 — </w:t>
      </w:r>
      <w:r>
        <w:t xml:space="preserve">volatilité élevée, Risk Off, prudence sur paires risquées</w:t>
      </w:r>
    </w:p>
    <w:p>
      <w:pPr>
        <w:spacing w:before="200" w:after="100"/>
      </w:pPr>
      <w:r>
        <w:rPr>
          <w:b/>
          <w:bCs/>
        </w:rPr>
        <w:t xml:space="preserve">DXY — L'indice du Dollar :</w:t>
      </w:r>
    </w:p>
    <w:p>
      <w:pPr>
        <w:spacing w:before="0" w:after="200"/>
      </w:pPr>
      <w:r>
        <w:t xml:space="preserve">Le DXY mesure la force du Dollar américain contre un panier de devises majeures. DXY en hausse = USD fort = pression baissière sur EUR/USD, GBP/USD, AUD/USD. DXY en baisse = USD faible = pression haussière sur ces paires.</w:t>
      </w:r>
    </w:p>
    <w:p>
      <w:pPr>
        <w:spacing w:before="0" w:after="100"/>
      </w:pPr>
      <w:r>
        <w:rPr>
          <w:b/>
          <w:bCs/>
        </w:rPr>
        <w:t xml:space="preserve">Le Pétrole et le CAD :</w:t>
      </w:r>
    </w:p>
    <w:p>
      <w:pPr>
        <w:spacing w:before="0" w:after="200"/>
      </w:pPr>
      <w:r>
        <w:t xml:space="preserve">Le Canada est un grand exportateur de pétrole. Pétrole en hausse = revenus pétroliers élevés = CAD fort. Pétrole en baisse = CAD faible. C'est une corrélation historiquement très forte.</w:t>
      </w:r>
    </w:p>
    <w:p>
      <w:pPr>
        <w:spacing w:before="0" w:after="100"/>
      </w:pPr>
      <w:r>
        <w:rPr>
          <w:b/>
          <w:bCs/>
        </w:rPr>
        <w:t xml:space="preserve">L'Or — Valeur refuge :</w:t>
      </w:r>
    </w:p>
    <w:p>
      <w:pPr>
        <w:spacing w:before="0" w:after="200"/>
      </w:pPr>
      <w:r>
        <w:t xml:space="preserve">L'or monte quand les investisseurs ont peur (inflation, géopolitique, incertitude). Or en hausse = sentiment Risk Off = JPY et CHF souvent forts aussi.</w:t>
      </w:r>
    </w:p>
    <w:p>
      <w:pPr>
        <w:pStyle w:val="Heading2"/>
      </w:pPr>
      <w:r>
        <w:t xml:space="preserve">3.4 La Saisonnalité des Devises</w:t>
      </w:r>
    </w:p>
    <w:p>
      <w:pPr>
        <w:spacing w:before="200" w:after="200"/>
      </w:pPr>
      <w:r>
        <w:t xml:space="preserve">Certaines devises ont des tendances saisonnières historiques basées sur les flux économiques réels.</w:t>
      </w:r>
    </w:p>
    <w:p>
      <w:pPr>
        <w:pStyle w:val="ListParagraph"/>
        <w:numPr>
          <w:ilvl w:val="0"/>
          <w:numId w:val="2"/>
        </w:numPr>
      </w:pPr>
      <w:r>
        <w:rPr>
          <w:b/>
          <w:bCs/>
        </w:rPr>
        <w:t xml:space="preserve">JPY fort en mars-avril — </w:t>
      </w:r>
      <w:r>
        <w:t xml:space="preserve">fin d'année fiscale japonaise, rapatriement de capitaux</w:t>
      </w:r>
    </w:p>
    <w:p>
      <w:pPr>
        <w:pStyle w:val="ListParagraph"/>
        <w:numPr>
          <w:ilvl w:val="0"/>
          <w:numId w:val="2"/>
        </w:numPr>
      </w:pPr>
      <w:r>
        <w:rPr>
          <w:b/>
          <w:bCs/>
        </w:rPr>
        <w:t xml:space="preserve">CAD fort en juin-août — </w:t>
      </w:r>
      <w:r>
        <w:t xml:space="preserve">demande estivale de pétrole</w:t>
      </w:r>
    </w:p>
    <w:p>
      <w:pPr>
        <w:pStyle w:val="ListParagraph"/>
        <w:numPr>
          <w:ilvl w:val="0"/>
          <w:numId w:val="2"/>
        </w:numPr>
      </w:pPr>
      <w:r>
        <w:rPr>
          <w:b/>
          <w:bCs/>
        </w:rPr>
        <w:t xml:space="preserve">AUD/NZD forts en janvier-février — </w:t>
      </w:r>
      <w:r>
        <w:t xml:space="preserve">saison estivale australienne, exports agricoles</w:t>
      </w:r>
    </w:p>
    <w:p>
      <w:r>
        <w:br w:type="page"/>
      </w:r>
    </w:p>
    <w:p>
      <w:pPr>
        <w:pStyle w:val="Heading1"/>
      </w:pPr>
      <w:r>
        <w:t xml:space="preserve">Module 4 — L'Analyse Technique Institutionnelle (Minervini)</w:t>
      </w:r>
    </w:p>
    <w:p>
      <w:pPr>
        <w:pStyle w:val="Heading2"/>
      </w:pPr>
      <w:r>
        <w:t xml:space="preserve">4.1 Pourquoi les Moyennes Mobiles ?</w:t>
      </w:r>
    </w:p>
    <w:p>
      <w:pPr>
        <w:spacing w:before="200" w:after="200"/>
      </w:pPr>
      <w:r>
        <w:t xml:space="preserve">Mark Minervini est l'un des traders les plus performants au monde. Sa méthode SEPA utilise les moyennes mobiles pour identifier les actifs en tendance forte. L'idée est simple : ne trader QUE dans la direction de la tendance sur plusieurs timeframes.</w:t>
      </w:r>
    </w:p>
    <w:p>
      <w:pPr>
        <w:pStyle w:val="Heading2"/>
      </w:pPr>
      <w:r>
        <w:t xml:space="preserve">4.2 Le Filtre Minervini H4 (C6)</w:t>
      </w:r>
    </w:p>
    <w:p>
      <w:pPr>
        <w:spacing w:before="200" w:after="100"/>
      </w:pPr>
      <w:r>
        <w:rPr>
          <w:b/>
          <w:bCs/>
        </w:rPr>
        <w:t xml:space="preserve">Les 3 moyennes mobiles essentielles :</w:t>
      </w:r>
    </w:p>
    <w:p>
      <w:pPr>
        <w:pStyle w:val="ListParagraph"/>
        <w:numPr>
          <w:ilvl w:val="0"/>
          <w:numId w:val="2"/>
        </w:numPr>
      </w:pPr>
      <w:r>
        <w:rPr>
          <w:b/>
          <w:bCs/>
        </w:rPr>
        <w:t xml:space="preserve">SMA 50 — </w:t>
      </w:r>
      <w:r>
        <w:t xml:space="preserve">tendance court terme (50 bougies H4 = ~8 jours)</w:t>
      </w:r>
    </w:p>
    <w:p>
      <w:pPr>
        <w:pStyle w:val="ListParagraph"/>
        <w:numPr>
          <w:ilvl w:val="0"/>
          <w:numId w:val="2"/>
        </w:numPr>
      </w:pPr>
      <w:r>
        <w:rPr>
          <w:b/>
          <w:bCs/>
        </w:rPr>
        <w:t xml:space="preserve">SMA 150 — </w:t>
      </w:r>
      <w:r>
        <w:t xml:space="preserve">tendance moyen terme (~25 jours)</w:t>
      </w:r>
    </w:p>
    <w:p>
      <w:pPr>
        <w:pStyle w:val="ListParagraph"/>
        <w:numPr>
          <w:ilvl w:val="0"/>
          <w:numId w:val="2"/>
        </w:numPr>
      </w:pPr>
      <w:r>
        <w:rPr>
          <w:b/>
          <w:bCs/>
        </w:rPr>
        <w:t xml:space="preserve">SMA 200 — </w:t>
      </w:r>
      <w:r>
        <w:t xml:space="preserve">tendance long terme (~33 jours)</w:t>
      </w:r>
    </w:p>
    <w:p>
      <w:pPr>
        <w:spacing w:before="200" w:after="100"/>
      </w:pPr>
      <w:r>
        <w:rPr>
          <w:b/>
          <w:bCs/>
          <w:color w:val="2E75B6"/>
        </w:rPr>
        <w:t xml:space="preserve">Signal BULLISH — Alignement parfait :</w:t>
      </w:r>
    </w:p>
    <w:p>
      <w:pPr>
        <w:spacing w:before="0" w:after="200"/>
      </w:pPr>
      <w:r>
        <w:t xml:space="preserve">Prix &gt; SMA50 &gt; SMA150 &gt; SMA200 → toutes les moyennes sont alignées en ordre ascendant → la tendance haussière est confirmée sur tous les timeframes.</w:t>
      </w:r>
    </w:p>
    <w:p>
      <w:pPr>
        <w:spacing w:before="0" w:after="100"/>
      </w:pPr>
      <w:r>
        <w:rPr>
          <w:b/>
          <w:bCs/>
          <w:color w:val="C00000"/>
        </w:rPr>
        <w:t xml:space="preserve">Signal BEARISH — Alignement inverse :</w:t>
      </w:r>
    </w:p>
    <w:p>
      <w:pPr>
        <w:spacing w:before="0" w:after="200"/>
      </w:pPr>
      <w:r>
        <w:t xml:space="preserve">Prix &lt; SMA50 &lt; SMA150 &lt; SMA200 → toutes les moyennes sont alignées en ordre descendant → la tendance baissière est confirmée.</w:t>
      </w:r>
    </w:p>
    <w:p>
      <w:pPr>
        <w:spacing w:before="200" w:after="200"/>
      </w:pPr>
      <w:r>
        <w:rPr>
          <w:b/>
          <w:bCs/>
          <w:color w:val="2E75B6"/>
        </w:rPr>
        <w:t xml:space="preserve">💡 Important : </w:t>
      </w:r>
      <w:r>
        <w:t xml:space="preserve">On utilise le timeframe H4 (4 heures) pour le trading swing. C'est le meilleur équilibre entre le bruit à court terme et la tendance de fond.</w:t>
      </w:r>
    </w:p>
    <w:p>
      <w:r>
        <w:br w:type="page"/>
      </w:r>
    </w:p>
    <w:p>
      <w:pPr>
        <w:pStyle w:val="Heading1"/>
      </w:pPr>
      <w:r>
        <w:t xml:space="preserve">Module 5 — Le Sentiment Contrarien (Myfxbook)</w:t>
      </w:r>
    </w:p>
    <w:p>
      <w:pPr>
        <w:pStyle w:val="Heading2"/>
      </w:pPr>
      <w:r>
        <w:t xml:space="preserve">5.1 Pourquoi trader à contre-courant du retail ?</w:t>
      </w:r>
    </w:p>
    <w:p>
      <w:pPr>
        <w:spacing w:before="200" w:after="200"/>
      </w:pPr>
      <w:r>
        <w:t xml:space="preserve">Le retail a historiquement tort aux extrêmes. Quand 80% des traders retail sont LONG sur une paire, c'est souvent le signal que le marché va baisser. Pourquoi ? Parce que si 80% sont déjà acheteurs, il reste peu d'acheteurs potentiels — mais beaucoup de vendeurs potentiels.</w:t>
      </w:r>
    </w:p>
    <w:p>
      <w:pPr>
        <w:pStyle w:val="Heading2"/>
      </w:pPr>
      <w:r>
        <w:t xml:space="preserve">5.2 Myfxbook — Le Pouls du Retail</w:t>
      </w:r>
    </w:p>
    <w:p>
      <w:pPr>
        <w:spacing w:before="200" w:after="200"/>
      </w:pPr>
      <w:r>
        <w:t xml:space="preserve">Myfxbook est une plateforme qui agrège les positions réelles de milliers de traders retail sur 186 paires de devises, mise à jour toutes les 15 minutes. C'est la source la plus représentative du sentiment retail forex.</w:t>
      </w:r>
    </w:p>
    <w:p>
      <w:pPr>
        <w:spacing w:before="0" w:after="100"/>
      </w:pPr>
      <w:r>
        <w:rPr>
          <w:b/>
          <w:bCs/>
        </w:rPr>
        <w:t xml:space="preserve">Comment lire le signal contrarien :</w:t>
      </w:r>
    </w:p>
    <w:p>
      <w:pPr>
        <w:pStyle w:val="ListParagraph"/>
        <w:numPr>
          <w:ilvl w:val="0"/>
          <w:numId w:val="2"/>
        </w:numPr>
      </w:pPr>
      <w:r>
        <w:rPr>
          <w:b/>
          <w:bCs/>
        </w:rPr>
        <w:t xml:space="preserve">Signal BEARISH + retail ≥ 60% LONG → </w:t>
      </w:r>
      <w:r>
        <w:t xml:space="preserve">setup contrarien validé — le retail est du mauvais côté</w:t>
      </w:r>
    </w:p>
    <w:p>
      <w:pPr>
        <w:pStyle w:val="ListParagraph"/>
        <w:numPr>
          <w:ilvl w:val="0"/>
          <w:numId w:val="2"/>
        </w:numPr>
      </w:pPr>
      <w:r>
        <w:rPr>
          <w:b/>
          <w:bCs/>
        </w:rPr>
        <w:t xml:space="preserve">Signal BULLISH + retail ≥ 60% SHORT → </w:t>
      </w:r>
      <w:r>
        <w:t xml:space="preserve">setup contrarien validé</w:t>
      </w:r>
    </w:p>
    <w:p>
      <w:pPr>
        <w:pStyle w:val="ListParagraph"/>
        <w:numPr>
          <w:ilvl w:val="0"/>
          <w:numId w:val="2"/>
        </w:numPr>
      </w:pPr>
      <w:r>
        <w:rPr>
          <w:b/>
          <w:bCs/>
          <w:color w:val="E36C09"/>
        </w:rPr>
        <w:t xml:space="preserve">Retail 70-79% → </w:t>
      </w:r>
      <w:r>
        <w:t xml:space="preserve">CONTRARIEN FORT</w:t>
      </w:r>
    </w:p>
    <w:p>
      <w:pPr>
        <w:pStyle w:val="ListParagraph"/>
        <w:numPr>
          <w:ilvl w:val="0"/>
          <w:numId w:val="2"/>
        </w:numPr>
      </w:pPr>
      <w:r>
        <w:rPr>
          <w:b/>
          <w:bCs/>
          <w:color w:val="C00000"/>
        </w:rPr>
        <w:t xml:space="preserve">Retail ≥ 80% → </w:t>
      </w:r>
      <w:r>
        <w:t xml:space="preserve">CONTRARIEN MAXIMAL — setup le plus puissant</w:t>
      </w:r>
    </w:p>
    <w:p>
      <w:pPr>
        <w:spacing w:before="200" w:after="200"/>
      </w:pPr>
      <w:r>
        <w:rPr>
          <w:b/>
          <w:bCs/>
          <w:color w:val="2E75B6"/>
        </w:rPr>
        <w:t xml:space="preserve">💡 Exemple : </w:t>
      </w:r>
      <w:r>
        <w:t xml:space="preserve">EURCAD en mars 2026 — 82% du retail est LONG alors que les hedge funds sont massivement SHORT (COT RelPos 17.6%). C'est la convergence parfaite institutionnel vs retail.</w:t>
      </w:r>
    </w:p>
    <w:p>
      <w:r>
        <w:br w:type="page"/>
      </w:r>
    </w:p>
    <w:p>
      <w:pPr>
        <w:pStyle w:val="Heading1"/>
      </w:pPr>
      <w:r>
        <w:t xml:space="preserve">Module 6 — La Stratégie APEX Complète</w:t>
      </w:r>
    </w:p>
    <w:p>
      <w:pPr>
        <w:pStyle w:val="Heading2"/>
      </w:pPr>
      <w:r>
        <w:t xml:space="preserve">6.1 Vue d'ensemble — Le Pipeline de Décision</w:t>
      </w:r>
    </w:p>
    <w:p>
      <w:pPr>
        <w:spacing w:before="200" w:after="200"/>
      </w:pPr>
      <w:r>
        <w:t xml:space="preserve">La stratégie APEX utilise 4 filtres obligatoires dans un ordre précis. Une paire doit passer TOUS les filtres pour générer un signal. Si elle échoue à n'importe quel filtre, elle est rejetée — même si 3 filtres sur 4 sont verts.</w:t>
      </w:r>
    </w:p>
    <w:p>
      <w:pPr>
        <w:spacing w:before="0" w:after="200"/>
      </w:pPr>
      <w:r>
        <w:rPr>
          <w:b/>
          <w:bCs/>
          <w:color w:val="1F4E79"/>
          <w:sz w:val="28"/>
          <w:szCs w:val="28"/>
        </w:rPr>
        <w:t xml:space="preserve">C2 COT Extreme → MACRO → C6 Minervini H4 → C5 Contrarien</w:t>
      </w:r>
    </w:p>
    <w:p>
      <w:pPr>
        <w:pStyle w:val="Heading2"/>
      </w:pPr>
      <w:r>
        <w:t xml:space="preserve">6.2 Filtre C2 — COT Extrême Institutionnel</w:t>
      </w:r>
    </w:p>
    <w:p>
      <w:pPr>
        <w:spacing w:before="200" w:after="100"/>
      </w:pPr>
      <w:r>
        <w:rPr>
          <w:b/>
          <w:bCs/>
        </w:rPr>
        <w:t xml:space="preserve">Objectif : </w:t>
      </w:r>
      <w:r>
        <w:t xml:space="preserve">Identifier quand les hedge funds sont à une position historiquement extrême.</w:t>
      </w:r>
    </w:p>
    <w:p>
      <w:pPr>
        <w:spacing w:before="0" w:after="100"/>
      </w:pPr>
      <w:r>
        <w:rPr>
          <w:b/>
          <w:bCs/>
        </w:rPr>
        <w:t xml:space="preserve">Données utilisées :</w:t>
      </w:r>
    </w:p>
    <w:p>
      <w:pPr>
        <w:pStyle w:val="ListParagraph"/>
        <w:numPr>
          <w:ilvl w:val="0"/>
          <w:numId w:val="2"/>
        </w:numPr>
      </w:pPr>
      <w:r>
        <w:rPr>
          <w:b/>
          <w:bCs/>
        </w:rPr>
        <w:t xml:space="preserve">Net position — </w:t>
      </w:r>
      <w:r>
        <w:t xml:space="preserve">Long - Short des Leveraged Money (hedge funds)</w:t>
      </w:r>
    </w:p>
    <w:p>
      <w:pPr>
        <w:pStyle w:val="ListParagraph"/>
        <w:numPr>
          <w:ilvl w:val="0"/>
          <w:numId w:val="2"/>
        </w:numPr>
      </w:pPr>
      <w:r>
        <w:rPr>
          <w:b/>
          <w:bCs/>
        </w:rPr>
        <w:t xml:space="preserve">Position Relative (RelPos) — </w:t>
      </w:r>
      <w:r>
        <w:t xml:space="preserve">où se situe le Net dans le range 52 semaines</w:t>
      </w:r>
    </w:p>
    <w:p>
      <w:pPr>
        <w:pStyle w:val="ListParagraph"/>
        <w:numPr>
          <w:ilvl w:val="0"/>
          <w:numId w:val="2"/>
        </w:numPr>
      </w:pPr>
      <w:r>
        <w:rPr>
          <w:b/>
          <w:bCs/>
        </w:rPr>
        <w:t xml:space="preserve">Accélération — </w:t>
      </w:r>
      <w:r>
        <w:t xml:space="preserve">le Delta s'intensifie-t-il dans la même direction ?</w:t>
      </w:r>
    </w:p>
    <w:p>
      <w:pPr>
        <w:pStyle w:val="ListParagraph"/>
        <w:numPr>
          <w:ilvl w:val="0"/>
          <w:numId w:val="2"/>
        </w:numPr>
      </w:pPr>
      <w:r>
        <w:rPr>
          <w:b/>
          <w:bCs/>
        </w:rPr>
        <w:t xml:space="preserve">Momentum 3 semaines — </w:t>
      </w:r>
      <w:r>
        <w:t xml:space="preserve">tendance court terme du positionnement</w:t>
      </w:r>
    </w:p>
    <w:p>
      <w:pPr>
        <w:spacing w:before="200" w:after="100"/>
      </w:pPr>
      <w:r>
        <w:rPr>
          <w:b/>
          <w:bCs/>
        </w:rPr>
        <w:t xml:space="preserve">Règle de décision :</w:t>
      </w:r>
    </w:p>
    <w:p>
      <w:pPr>
        <w:pStyle w:val="ListParagraph"/>
        <w:numPr>
          <w:ilvl w:val="0"/>
          <w:numId w:val="2"/>
        </w:numPr>
      </w:pPr>
      <w:r>
        <w:rPr>
          <w:b/>
          <w:bCs/>
          <w:color w:val="2E75B6"/>
        </w:rPr>
        <w:t xml:space="preserve">RelPos ≥ 80% + Accélération &gt; 0 = BULLISH ✅</w:t>
      </w:r>
    </w:p>
    <w:p>
      <w:pPr>
        <w:pStyle w:val="ListParagraph"/>
        <w:numPr>
          <w:ilvl w:val="0"/>
          <w:numId w:val="2"/>
        </w:numPr>
      </w:pPr>
      <w:r>
        <w:rPr>
          <w:b/>
          <w:bCs/>
          <w:color w:val="C00000"/>
        </w:rPr>
        <w:t xml:space="preserve">RelPos ≤ 20% + Accélération &lt; 0 = BEARISH ✅</w:t>
      </w:r>
    </w:p>
    <w:p>
      <w:pPr>
        <w:pStyle w:val="ListParagraph"/>
        <w:numPr>
          <w:ilvl w:val="0"/>
          <w:numId w:val="2"/>
        </w:numPr>
      </w:pPr>
      <w:r>
        <w:t xml:space="preserve">Entre 20% et 80% = NEUTRE ❌ — pas de signal</w:t>
      </w:r>
    </w:p>
    <w:p>
      <w:pPr>
        <w:spacing w:before="0" w:after="100"/>
      </w:pPr>
      <w:r>
        <w:rPr>
          <w:b/>
          <w:bCs/>
        </w:rPr>
        <w:t xml:space="preserve">Mise à jour : </w:t>
      </w:r>
      <w:r>
        <w:t xml:space="preserve">Chaque vendredi à 21h00 UTC après la publication du rapport CFTC.</w:t>
      </w:r>
    </w:p>
    <w:p>
      <w:pPr>
        <w:pStyle w:val="Heading2"/>
      </w:pPr>
      <w:r>
        <w:t xml:space="preserve">6.3 Filtre MACRO — Contexte de Marché</w:t>
      </w:r>
    </w:p>
    <w:p>
      <w:pPr>
        <w:spacing w:before="200" w:after="100"/>
      </w:pPr>
      <w:r>
        <w:rPr>
          <w:b/>
          <w:bCs/>
        </w:rPr>
        <w:t xml:space="preserve">Objectif : </w:t>
      </w:r>
      <w:r>
        <w:t xml:space="preserve">S'assurer que le contexte macro confirme la direction institutionnelle.</w:t>
      </w:r>
    </w:p>
    <w:p>
      <w:pPr>
        <w:spacing w:before="0" w:after="100"/>
      </w:pPr>
      <w:r>
        <w:rPr>
          <w:b/>
          <w:bCs/>
        </w:rPr>
        <w:t xml:space="preserve">Les filtres macro :</w:t>
      </w:r>
    </w:p>
    <w:p>
      <w:pPr>
        <w:pStyle w:val="ListParagraph"/>
        <w:numPr>
          <w:ilvl w:val="0"/>
          <w:numId w:val="2"/>
        </w:numPr>
      </w:pPr>
      <w:r>
        <w:rPr>
          <w:b/>
          <w:bCs/>
        </w:rPr>
        <w:t xml:space="preserve">VIX — </w:t>
      </w:r>
      <w:r>
        <w:t xml:space="preserve">bloque les signaux BULLISH sur paires Risk-On (AUDJPY, CADJPY, NZDJPY) si VIX &gt; 25</w:t>
      </w:r>
    </w:p>
    <w:p>
      <w:pPr>
        <w:pStyle w:val="ListParagraph"/>
        <w:numPr>
          <w:ilvl w:val="0"/>
          <w:numId w:val="2"/>
        </w:numPr>
      </w:pPr>
      <w:r>
        <w:rPr>
          <w:b/>
          <w:bCs/>
        </w:rPr>
        <w:t xml:space="preserve">DXY — </w:t>
      </w:r>
      <w:r>
        <w:t xml:space="preserve">confirme ou bloque les paires USD</w:t>
      </w:r>
    </w:p>
    <w:p>
      <w:pPr>
        <w:pStyle w:val="ListParagraph"/>
        <w:numPr>
          <w:ilvl w:val="0"/>
          <w:numId w:val="2"/>
        </w:numPr>
      </w:pPr>
      <w:r>
        <w:rPr>
          <w:b/>
          <w:bCs/>
        </w:rPr>
        <w:t xml:space="preserve">Pétrole — </w:t>
      </w:r>
      <w:r>
        <w:t xml:space="preserve">confirme ou bloque les paires CAD</w:t>
      </w:r>
    </w:p>
    <w:p>
      <w:pPr>
        <w:pStyle w:val="ListParagraph"/>
        <w:numPr>
          <w:ilvl w:val="0"/>
          <w:numId w:val="2"/>
        </w:numPr>
      </w:pPr>
      <w:r>
        <w:rPr>
          <w:b/>
          <w:bCs/>
        </w:rPr>
        <w:t xml:space="preserve">Or — </w:t>
      </w:r>
      <w:r>
        <w:t xml:space="preserve">confirme les signaux XAUUSD</w:t>
      </w:r>
    </w:p>
    <w:p>
      <w:pPr>
        <w:pStyle w:val="ListParagraph"/>
        <w:numPr>
          <w:ilvl w:val="0"/>
          <w:numId w:val="2"/>
        </w:numPr>
      </w:pPr>
      <w:r>
        <w:rPr>
          <w:b/>
          <w:bCs/>
        </w:rPr>
        <w:t xml:space="preserve">Saisonnalité — </w:t>
      </w:r>
      <w:r>
        <w:t xml:space="preserve">JPY fort mars-avril, CAD fort été</w:t>
      </w:r>
    </w:p>
    <w:p>
      <w:pPr>
        <w:spacing w:before="0" w:after="100"/>
      </w:pPr>
      <w:r>
        <w:rPr>
          <w:b/>
          <w:bCs/>
        </w:rPr>
        <w:t xml:space="preserve">Mise à jour : </w:t>
      </w:r>
      <w:r>
        <w:t xml:space="preserve">Temps réel à chaque scan de 15 minutes.</w:t>
      </w:r>
    </w:p>
    <w:p>
      <w:pPr>
        <w:pStyle w:val="Heading2"/>
      </w:pPr>
      <w:r>
        <w:t xml:space="preserve">6.4 Filtre C6 — Tendance Minervini H4</w:t>
      </w:r>
    </w:p>
    <w:p>
      <w:pPr>
        <w:spacing w:before="200" w:after="100"/>
      </w:pPr>
      <w:r>
        <w:rPr>
          <w:b/>
          <w:bCs/>
        </w:rPr>
        <w:t xml:space="preserve">Objectif : </w:t>
      </w:r>
      <w:r>
        <w:t xml:space="preserve">Confirmer que le momentum technique H4 est aligné avec la direction institutionnelle.</w:t>
      </w:r>
    </w:p>
    <w:p>
      <w:pPr>
        <w:pStyle w:val="ListParagraph"/>
        <w:numPr>
          <w:ilvl w:val="0"/>
          <w:numId w:val="2"/>
        </w:numPr>
      </w:pPr>
      <w:r>
        <w:rPr>
          <w:b/>
          <w:bCs/>
        </w:rPr>
        <w:t xml:space="preserve">BULLISH : </w:t>
      </w:r>
      <w:r>
        <w:t xml:space="preserve">Prix &gt; SMA50 &gt; SMA150 &gt; SMA200</w:t>
      </w:r>
    </w:p>
    <w:p>
      <w:pPr>
        <w:pStyle w:val="ListParagraph"/>
        <w:numPr>
          <w:ilvl w:val="0"/>
          <w:numId w:val="2"/>
        </w:numPr>
      </w:pPr>
      <w:r>
        <w:rPr>
          <w:b/>
          <w:bCs/>
        </w:rPr>
        <w:t xml:space="preserve">BEARISH : </w:t>
      </w:r>
      <w:r>
        <w:t xml:space="preserve">Prix &lt; SMA50 &lt; SMA150 &lt; SMA200</w:t>
      </w:r>
    </w:p>
    <w:p>
      <w:pPr>
        <w:spacing w:before="200" w:after="200"/>
      </w:pPr>
      <w:r>
        <w:rPr>
          <w:b/>
          <w:bCs/>
          <w:color w:val="2E75B6"/>
        </w:rPr>
        <w:t xml:space="preserve">💡 Pourquoi H4 ? </w:t>
      </w:r>
      <w:r>
        <w:t xml:space="preserve">Le timeframe H4 filtre le bruit à court terme tout en capturant la tendance de fond. C'est le meilleur timeframe pour les swings de 1 à 14 jours.</w:t>
      </w:r>
    </w:p>
    <w:p>
      <w:pPr>
        <w:pStyle w:val="Heading2"/>
      </w:pPr>
      <w:r>
        <w:t xml:space="preserve">6.5 Filtre C5 — Retail Contrarien Myfxbook</w:t>
      </w:r>
    </w:p>
    <w:p>
      <w:pPr>
        <w:spacing w:before="200" w:after="100"/>
      </w:pPr>
      <w:r>
        <w:rPr>
          <w:b/>
          <w:bCs/>
        </w:rPr>
        <w:t xml:space="preserve">Objectif : </w:t>
      </w:r>
      <w:r>
        <w:t xml:space="preserve">Confirmer que le retail est positionné à l'opposé du signal institutionnel.</w:t>
      </w:r>
    </w:p>
    <w:p>
      <w:pPr>
        <w:pStyle w:val="ListParagraph"/>
        <w:numPr>
          <w:ilvl w:val="0"/>
          <w:numId w:val="2"/>
        </w:numPr>
      </w:pPr>
      <w:r>
        <w:rPr>
          <w:b/>
          <w:bCs/>
        </w:rPr>
        <w:t xml:space="preserve">Signal BEARISH + retail ≥ 60% LONG = PASS ✅</w:t>
      </w:r>
    </w:p>
    <w:p>
      <w:pPr>
        <w:pStyle w:val="ListParagraph"/>
        <w:numPr>
          <w:ilvl w:val="0"/>
          <w:numId w:val="2"/>
        </w:numPr>
      </w:pPr>
      <w:r>
        <w:rPr>
          <w:b/>
          <w:bCs/>
        </w:rPr>
        <w:t xml:space="preserve">Signal BULLISH + retail ≥ 60% SHORT = PASS ✅</w:t>
      </w:r>
    </w:p>
    <w:p>
      <w:pPr>
        <w:pStyle w:val="ListParagraph"/>
        <w:numPr>
          <w:ilvl w:val="0"/>
          <w:numId w:val="2"/>
        </w:numPr>
      </w:pPr>
      <w:r>
        <w:t xml:space="preserve">Retail &lt; 60% du mauvais côté = REFUS ❌</w:t>
      </w:r>
    </w:p>
    <w:p>
      <w:r>
        <w:br w:type="page"/>
      </w:r>
    </w:p>
    <w:p>
      <w:pPr>
        <w:pStyle w:val="Heading1"/>
      </w:pPr>
      <w:r>
        <w:t xml:space="preserve">Module 7 — Gestion du Risque et des Positions</w:t>
      </w:r>
    </w:p>
    <w:p>
      <w:pPr>
        <w:pStyle w:val="Heading2"/>
      </w:pPr>
      <w:r>
        <w:t xml:space="preserve">7.1 La Règle d'Or : 1% de Risque par Trade</w:t>
      </w:r>
    </w:p>
    <w:p>
      <w:pPr>
        <w:spacing w:before="200" w:after="200"/>
      </w:pPr>
      <w:r>
        <w:t xml:space="preserve">Ne jamais risquer plus de 1% de ton capital sur un seul trade. C'est la règle la plus importante du trading professionnel. Avec un compte de 100 000$, chaque trade risque maximum 1 000$.</w:t>
      </w:r>
    </w:p>
    <w:p>
      <w:pPr>
        <w:spacing w:before="0" w:after="100"/>
      </w:pPr>
      <w:r>
        <w:rPr>
          <w:b/>
          <w:bCs/>
        </w:rPr>
        <w:t xml:space="preserve">Pourquoi 1% ?</w:t>
      </w:r>
    </w:p>
    <w:p>
      <w:pPr>
        <w:pStyle w:val="ListParagraph"/>
        <w:numPr>
          <w:ilvl w:val="0"/>
          <w:numId w:val="2"/>
        </w:numPr>
      </w:pPr>
      <w:r>
        <w:t xml:space="preserve">Même avec 10 pertes consécutives, tu perds seulement 10% du compte</w:t>
      </w:r>
    </w:p>
    <w:p>
      <w:pPr>
        <w:pStyle w:val="ListParagraph"/>
        <w:numPr>
          <w:ilvl w:val="0"/>
          <w:numId w:val="2"/>
        </w:numPr>
      </w:pPr>
      <w:r>
        <w:t xml:space="preserve">Tu peux survivre aux drawdowns inévitables</w:t>
      </w:r>
    </w:p>
    <w:p>
      <w:pPr>
        <w:pStyle w:val="ListParagraph"/>
        <w:numPr>
          <w:ilvl w:val="0"/>
          <w:numId w:val="2"/>
        </w:numPr>
      </w:pPr>
      <w:r>
        <w:t xml:space="preserve">La croissance du compte devient consistante sur le long terme</w:t>
      </w:r>
    </w:p>
    <w:p>
      <w:pPr>
        <w:pStyle w:val="ListParagraph"/>
        <w:numPr>
          <w:ilvl w:val="0"/>
          <w:numId w:val="2"/>
        </w:numPr>
      </w:pPr>
      <w:r>
        <w:t xml:space="preserve">Psychologiquement gérable — une perte de 1 000$ n'affecte pas tes décisions futures</w:t>
      </w:r>
    </w:p>
    <w:p>
      <w:pPr>
        <w:pStyle w:val="Heading2"/>
      </w:pPr>
      <w:r>
        <w:t xml:space="preserve">7.2 Le Risk/Reward</w:t>
      </w:r>
    </w:p>
    <w:p>
      <w:pPr>
        <w:spacing w:before="200" w:after="200"/>
      </w:pPr>
      <w:r>
        <w:t xml:space="preserve">Vise toujours un RR minimum de 1:2. Si tu risques 1 000$, ton objectif de profit doit être minimum 2 000$. Avec un win rate de 50%, tu seras toujours profitable avec un RR de 1:2.</w:t>
      </w:r>
    </w:p>
    <w:p>
      <w:pPr>
        <w:spacing w:before="0" w:after="200"/>
      </w:pPr>
      <w:r>
        <w:rPr>
          <w:b/>
          <w:bCs/>
          <w:color w:val="2E75B6"/>
        </w:rPr>
        <w:t xml:space="preserve">Avec la stratégie APEX (70-88% win rate) + RR 1:2 = croissance exponentielle du compte sur le long terme.</w:t>
      </w:r>
    </w:p>
    <w:p>
      <w:pPr>
        <w:pStyle w:val="Heading2"/>
      </w:pPr>
      <w:r>
        <w:t xml:space="preserve">7.3 Le Compte FTMO Swing</w:t>
      </w:r>
    </w:p>
    <w:p>
      <w:pPr>
        <w:spacing w:before="200" w:after="200"/>
      </w:pPr>
      <w:r>
        <w:t xml:space="preserve">FTMO est une société de financement qui te prête un capital de trading si tu passes leur évaluation. Le compte Swing est parfait pour cette stratégie car :</w:t>
      </w:r>
    </w:p>
    <w:p>
      <w:pPr>
        <w:pStyle w:val="ListParagraph"/>
        <w:numPr>
          <w:ilvl w:val="0"/>
          <w:numId w:val="2"/>
        </w:numPr>
      </w:pPr>
      <w:r>
        <w:rPr>
          <w:b/>
          <w:bCs/>
        </w:rPr>
        <w:t xml:space="preserve">Trading pendant les news permis ✅</w:t>
      </w:r>
    </w:p>
    <w:p>
      <w:pPr>
        <w:pStyle w:val="ListParagraph"/>
        <w:numPr>
          <w:ilvl w:val="0"/>
          <w:numId w:val="2"/>
        </w:numPr>
      </w:pPr>
      <w:r>
        <w:rPr>
          <w:b/>
          <w:bCs/>
        </w:rPr>
        <w:t xml:space="preserve">Positions overnight et weekend autorisées ✅</w:t>
      </w:r>
    </w:p>
    <w:p>
      <w:pPr>
        <w:pStyle w:val="ListParagraph"/>
        <w:numPr>
          <w:ilvl w:val="0"/>
          <w:numId w:val="2"/>
        </w:numPr>
      </w:pPr>
      <w:r>
        <w:t xml:space="preserve">Drawdown journalier max 8%</w:t>
      </w:r>
    </w:p>
    <w:p>
      <w:pPr>
        <w:pStyle w:val="ListParagraph"/>
        <w:numPr>
          <w:ilvl w:val="0"/>
          <w:numId w:val="2"/>
        </w:numPr>
      </w:pPr>
      <w:r>
        <w:t xml:space="preserve">Drawdown total max 12%</w:t>
      </w:r>
    </w:p>
    <w:p>
      <w:pPr>
        <w:pStyle w:val="Heading2"/>
      </w:pPr>
      <w:r>
        <w:t xml:space="preserve">7.4 Les Paires et leur TIER</w:t>
      </w:r>
    </w:p>
    <w:p>
      <w:pPr>
        <w:spacing w:before="200" w:after="200"/>
      </w:pPr>
      <w:r>
        <w:t xml:space="preserve">Les paires sont organisées en 3 niveaux selon leur précision historique sur 3+ ans de backtest avec la stratégie APEX.</w:t>
      </w:r>
    </w:p>
    <w:p>
      <w:pPr>
        <w:pStyle w:val="ListParagraph"/>
        <w:numPr>
          <w:ilvl w:val="0"/>
          <w:numId w:val="2"/>
        </w:numPr>
      </w:pPr>
      <w:r>
        <w:rPr>
          <w:b/>
          <w:bCs/>
          <w:color w:val="2E75B6"/>
        </w:rPr>
        <w:t xml:space="preserve">TIER 1 (70%+ de précision) — </w:t>
      </w:r>
      <w:r>
        <w:t xml:space="preserve">AUDJPY 88%, EURCAD 84%, CADJPY 80%, XAUUSD 73%, HG 75%, GBPNZD 71%, GBPAUD 70%</w:t>
      </w:r>
    </w:p>
    <w:p>
      <w:pPr>
        <w:pStyle w:val="ListParagraph"/>
        <w:numPr>
          <w:ilvl w:val="0"/>
          <w:numId w:val="2"/>
        </w:numPr>
      </w:pPr>
      <w:r>
        <w:rPr>
          <w:b/>
          <w:bCs/>
          <w:color w:val="E36C09"/>
        </w:rPr>
        <w:t xml:space="preserve">TIER 2 (60-69%) — </w:t>
      </w:r>
      <w:r>
        <w:t xml:space="preserve">GBPJPY, USDCAD, AUDNZD, GBPCAD, CADCHF, XAGUSD</w:t>
      </w:r>
    </w:p>
    <w:p>
      <w:pPr>
        <w:pStyle w:val="ListParagraph"/>
        <w:numPr>
          <w:ilvl w:val="0"/>
          <w:numId w:val="2"/>
        </w:numPr>
      </w:pPr>
      <w:r>
        <w:rPr>
          <w:b/>
          <w:bCs/>
        </w:rPr>
        <w:t xml:space="preserve">TIER 3 (en observation) — </w:t>
      </w:r>
      <w:r>
        <w:t xml:space="preserve">21 paires en attente de signal C2 Extrême</w:t>
      </w:r>
    </w:p>
    <w:p>
      <w:r>
        <w:br w:type="page"/>
      </w:r>
    </w:p>
    <w:p>
      <w:pPr>
        <w:pStyle w:val="Heading1"/>
      </w:pPr>
      <w:r>
        <w:t xml:space="preserve">Module 8 — Utilisation du Bot APEX</w:t>
      </w:r>
    </w:p>
    <w:p>
      <w:pPr>
        <w:pStyle w:val="Heading2"/>
      </w:pPr>
      <w:r>
        <w:t xml:space="preserve">8.1 Comment fonctionne le Bot</w:t>
      </w:r>
    </w:p>
    <w:p>
      <w:pPr>
        <w:spacing w:before="200" w:after="200"/>
      </w:pPr>
      <w:r>
        <w:t xml:space="preserve">Le bot APEX scanne automatiquement 34 paires de devises toutes les 15 minutes et applique les 4 filtres de la stratégie. Quand une paire passe tous les filtres, tu reçois une alerte détaillée sur Telegram.</w:t>
      </w:r>
    </w:p>
    <w:p>
      <w:pPr>
        <w:pStyle w:val="Heading2"/>
      </w:pPr>
      <w:r>
        <w:t xml:space="preserve">8.2 Lire une Alerte APEX</w:t>
      </w:r>
    </w:p>
    <w:p>
      <w:pPr>
        <w:spacing w:before="200" w:after="100"/>
      </w:pPr>
      <w:r>
        <w:t xml:space="preserve">Voici comment interpréter chaque section d'une alerte :</w:t>
      </w:r>
    </w:p>
    <w:p>
      <w:pPr>
        <w:pStyle w:val="ListParagraph"/>
        <w:numPr>
          <w:ilvl w:val="0"/>
          <w:numId w:val="2"/>
        </w:numPr>
      </w:pPr>
      <w:r>
        <w:rPr>
          <w:b/>
          <w:bCs/>
        </w:rPr>
        <w:t xml:space="preserve">TIER et précision — </w:t>
      </w:r>
      <w:r>
        <w:t xml:space="preserve">indique la fiabilité historique du signal sur cette paire</w:t>
      </w:r>
    </w:p>
    <w:p>
      <w:pPr>
        <w:pStyle w:val="ListParagraph"/>
        <w:numPr>
          <w:ilvl w:val="0"/>
          <w:numId w:val="2"/>
        </w:numPr>
      </w:pPr>
      <w:r>
        <w:rPr>
          <w:b/>
          <w:bCs/>
        </w:rPr>
        <w:t xml:space="preserve">C2 COT — </w:t>
      </w:r>
      <w:r>
        <w:t xml:space="preserve">position relative des hedge funds, accélération et conviction</w:t>
      </w:r>
    </w:p>
    <w:p>
      <w:pPr>
        <w:pStyle w:val="ListParagraph"/>
        <w:numPr>
          <w:ilvl w:val="0"/>
          <w:numId w:val="2"/>
        </w:numPr>
      </w:pPr>
      <w:r>
        <w:rPr>
          <w:b/>
          <w:bCs/>
        </w:rPr>
        <w:t xml:space="preserve">C6 Technique — </w:t>
      </w:r>
      <w:r>
        <w:t xml:space="preserve">alignement des SMAs H4 confirme la tendance</w:t>
      </w:r>
    </w:p>
    <w:p>
      <w:pPr>
        <w:pStyle w:val="ListParagraph"/>
        <w:numPr>
          <w:ilvl w:val="0"/>
          <w:numId w:val="2"/>
        </w:numPr>
      </w:pPr>
      <w:r>
        <w:rPr>
          <w:b/>
          <w:bCs/>
        </w:rPr>
        <w:t xml:space="preserve">C5 Retail — </w:t>
      </w:r>
      <w:r>
        <w:t xml:space="preserve">% retail du mauvais côté = force du setup contrarien</w:t>
      </w:r>
    </w:p>
    <w:p>
      <w:pPr>
        <w:pStyle w:val="ListParagraph"/>
        <w:numPr>
          <w:ilvl w:val="0"/>
          <w:numId w:val="2"/>
        </w:numPr>
      </w:pPr>
      <w:r>
        <w:rPr>
          <w:b/>
          <w:bCs/>
        </w:rPr>
        <w:t xml:space="preserve">MACRO — </w:t>
      </w:r>
      <w:r>
        <w:t xml:space="preserve">VIX, DXY, pétrole, or confirment le contexte</w:t>
      </w:r>
    </w:p>
    <w:p>
      <w:pPr>
        <w:pStyle w:val="ListParagraph"/>
        <w:numPr>
          <w:ilvl w:val="0"/>
          <w:numId w:val="2"/>
        </w:numPr>
      </w:pPr>
      <w:r>
        <w:rPr>
          <w:b/>
          <w:bCs/>
        </w:rPr>
        <w:t xml:space="preserve">Thèse IA — </w:t>
      </w:r>
      <w:r>
        <w:t xml:space="preserve">analyse contextuelle avec les news du jour</w:t>
      </w:r>
    </w:p>
    <w:p>
      <w:pPr>
        <w:pStyle w:val="Heading2"/>
      </w:pPr>
      <w:r>
        <w:t xml:space="preserve">8.3 Le Bot de Gestion de Position</w:t>
      </w:r>
    </w:p>
    <w:p>
      <w:pPr>
        <w:spacing w:before="200" w:after="200"/>
      </w:pPr>
      <w:r>
        <w:t xml:space="preserve">Le bot APEX Positions (@apex_positions_bot) est ton assistant de suivi de trades. Voici le flux complet :</w:t>
      </w:r>
    </w:p>
    <w:p>
      <w:pPr>
        <w:pStyle w:val="ListParagraph"/>
        <w:numPr>
          <w:ilvl w:val="0"/>
          <w:numId w:val="3"/>
        </w:numPr>
      </w:pPr>
      <w:r>
        <w:t xml:space="preserve">Tu reçois une alerte sur le bot principal</w:t>
      </w:r>
    </w:p>
    <w:p>
      <w:pPr>
        <w:pStyle w:val="ListParagraph"/>
        <w:numPr>
          <w:ilvl w:val="0"/>
          <w:numId w:val="3"/>
        </w:numPr>
      </w:pPr>
      <w:r>
        <w:t xml:space="preserve">Le bot Positions te demande : As-tu pris ce trade ? → Tu cliques OUI ou NON</w:t>
      </w:r>
    </w:p>
    <w:p>
      <w:pPr>
        <w:pStyle w:val="ListParagraph"/>
        <w:numPr>
          <w:ilvl w:val="0"/>
          <w:numId w:val="3"/>
        </w:numPr>
      </w:pPr>
      <w:r>
        <w:t xml:space="preserve">Chaque matin à 7h00 AM ET : analyse quotidienne avec C2+MACRO+C6+C5+news+thèse IA</w:t>
      </w:r>
    </w:p>
    <w:p>
      <w:pPr>
        <w:pStyle w:val="ListParagraph"/>
        <w:numPr>
          <w:ilvl w:val="0"/>
          <w:numId w:val="3"/>
        </w:numPr>
      </w:pPr>
      <w:r>
        <w:t xml:space="preserve">Chaque vendredi 21h30 UTC : suivi COT complet avec nouvelles données institutionnelles</w:t>
      </w:r>
    </w:p>
    <w:p>
      <w:pPr>
        <w:pStyle w:val="ListParagraph"/>
        <w:numPr>
          <w:ilvl w:val="0"/>
          <w:numId w:val="3"/>
        </w:numPr>
      </w:pPr>
      <w:r>
        <w:t xml:space="preserve">Quand tu fermes le trade : tu cliques FERMÉ WIN ou FERMÉ LOSS</w:t>
      </w:r>
    </w:p>
    <w:p>
      <w:pPr>
        <w:pStyle w:val="ListParagraph"/>
        <w:numPr>
          <w:ilvl w:val="0"/>
          <w:numId w:val="3"/>
        </w:numPr>
      </w:pPr>
      <w:r>
        <w:t xml:space="preserve">Après 30 trades : rapport automatique complet avec verdict FTMO Ready</w:t>
      </w:r>
    </w:p>
    <w:p>
      <w:r>
        <w:br w:type="page"/>
      </w:r>
    </w:p>
    <w:p>
      <w:pPr>
        <w:pStyle w:val="Heading1"/>
      </w:pPr>
      <w:r>
        <w:t xml:space="preserve">Module 9 — Psychologie du Trading</w:t>
      </w:r>
    </w:p>
    <w:p>
      <w:pPr>
        <w:pStyle w:val="Heading2"/>
      </w:pPr>
      <w:r>
        <w:t xml:space="preserve">9.1 Les Erreurs Psychologiques à Éviter</w:t>
      </w:r>
    </w:p>
    <w:p>
      <w:pPr>
        <w:spacing w:before="200" w:after="100"/>
      </w:pPr>
      <w:r>
        <w:rPr>
          <w:b/>
          <w:bCs/>
        </w:rPr>
        <w:t xml:space="preserve">FOMO (Fear Of Missing Out) :</w:t>
      </w:r>
    </w:p>
    <w:p>
      <w:pPr>
        <w:spacing w:before="0" w:after="200"/>
      </w:pPr>
      <w:r>
        <w:t xml:space="preserve">Ne jamais entrer sur un trade parce que le marché bouge vite et que tu as peur de manquer la vague. Si tu n'as pas eu le signal APEX, il n'y a pas de trade. Un signal raté est une opportunité perdue — pas une erreur.</w:t>
      </w:r>
    </w:p>
    <w:p>
      <w:pPr>
        <w:spacing w:before="0" w:after="100"/>
      </w:pPr>
      <w:r>
        <w:rPr>
          <w:b/>
          <w:bCs/>
        </w:rPr>
        <w:t xml:space="preserve">Revenge Trading :</w:t>
      </w:r>
    </w:p>
    <w:p>
      <w:pPr>
        <w:spacing w:before="0" w:after="200"/>
      </w:pPr>
      <w:r>
        <w:t xml:space="preserve">Après une perte, ne jamais essayer de récupérer rapidement en prenant un trade non qualifié. Les pertes font partie du trading — même avec 80% de win rate, il y a des pertes. Chaque trade est indépendant.</w:t>
      </w:r>
    </w:p>
    <w:p>
      <w:pPr>
        <w:spacing w:before="0" w:after="100"/>
      </w:pPr>
      <w:r>
        <w:rPr>
          <w:b/>
          <w:bCs/>
        </w:rPr>
        <w:t xml:space="preserve">Overtrading :</w:t>
      </w:r>
    </w:p>
    <w:p>
      <w:pPr>
        <w:spacing w:before="0" w:after="200"/>
      </w:pPr>
      <w:r>
        <w:t xml:space="preserve">La stratégie APEX génère peu de signaux — c'est voulu. Moins de trades = moins d'erreurs = moins de risque. Si le bot n'envoie pas d'alerte, c'est parce que les conditions ne sont pas réunies. Attends patiemment.</w:t>
      </w:r>
    </w:p>
    <w:p>
      <w:pPr>
        <w:pStyle w:val="Heading2"/>
      </w:pPr>
      <w:r>
        <w:t xml:space="preserve">9.2 La Patience — L'Avantage du Trader Institutionnel</w:t>
      </w:r>
    </w:p>
    <w:p>
      <w:pPr>
        <w:spacing w:before="200" w:after="200"/>
      </w:pPr>
      <w:r>
        <w:t xml:space="preserve">Les hedge funds peuvent attendre des semaines ou des mois avant d'entrer sur un trade. Ils ne sont pas pressés — ils savent que quand toutes les conditions sont réunies, le trade sera gagnant. Adopte cette mentalité.</w:t>
      </w:r>
    </w:p>
    <w:p>
      <w:pPr>
        <w:spacing w:before="0" w:after="200"/>
      </w:pPr>
      <w:r>
        <w:rPr>
          <w:i/>
          <w:iCs/>
          <w:color w:val="1F4E79"/>
          <w:sz w:val="26"/>
          <w:szCs w:val="26"/>
        </w:rPr>
        <w:t xml:space="preserve">"Je ne trade pas pour l'excitation — je trade pour le profit."</w:t>
      </w:r>
    </w:p>
    <w:p>
      <w:pPr>
        <w:pStyle w:val="Heading2"/>
      </w:pPr>
      <w:r>
        <w:t xml:space="preserve">9.3 Le Journal de Trading</w:t>
      </w:r>
    </w:p>
    <w:p>
      <w:pPr>
        <w:spacing w:before="200" w:after="200"/>
      </w:pPr>
      <w:r>
        <w:t xml:space="preserve">Tiens un journal de chaque trade avec : la raison d'entrée, les filtres qui ont passé, le résultat et ce que tu aurais pu faire différemment. C'est le seul moyen de progresser. Le bot APEX Positions fait ça automatiquement pour toi.</w:t>
      </w:r>
    </w:p>
    <w:p>
      <w:r>
        <w:br w:type="page"/>
      </w:r>
    </w:p>
    <w:p>
      <w:pPr>
        <w:pStyle w:val="Heading1"/>
      </w:pPr>
      <w:r>
        <w:t xml:space="preserve">Module 10 — Plan de Trading Hebdomadaire</w:t>
      </w:r>
    </w:p>
    <w:p>
      <w:pPr>
        <w:pStyle w:val="Heading2"/>
      </w:pPr>
      <w:r>
        <w:t xml:space="preserve">10.1 La Routine du Trader APEX</w:t>
      </w:r>
    </w:p>
    <w:p>
      <w:pPr>
        <w:spacing w:before="200" w:after="100"/>
      </w:pPr>
      <w:r>
        <w:rPr>
          <w:b/>
          <w:bCs/>
          <w:color w:val="1F4E79"/>
        </w:rPr>
        <w:t xml:space="preserve">Vendredi soir (21h30 UTC) :</w:t>
      </w:r>
    </w:p>
    <w:p>
      <w:pPr>
        <w:pStyle w:val="ListParagraph"/>
        <w:numPr>
          <w:ilvl w:val="0"/>
          <w:numId w:val="2"/>
        </w:numPr>
      </w:pPr>
      <w:r>
        <w:t xml:space="preserve">Nouveau rapport COT publié — le bot analyse automatiquement</w:t>
      </w:r>
    </w:p>
    <w:p>
      <w:pPr>
        <w:pStyle w:val="ListParagraph"/>
        <w:numPr>
          <w:ilvl w:val="0"/>
          <w:numId w:val="2"/>
        </w:numPr>
      </w:pPr>
      <w:r>
        <w:t xml:space="preserve">Recevoir le suivi COT de tes positions actives sur Telegram</w:t>
      </w:r>
    </w:p>
    <w:p>
      <w:pPr>
        <w:pStyle w:val="ListParagraph"/>
        <w:numPr>
          <w:ilvl w:val="0"/>
          <w:numId w:val="2"/>
        </w:numPr>
      </w:pPr>
      <w:r>
        <w:t xml:space="preserve">Planifier mentalement les setups potentiels pour la semaine</w:t>
      </w:r>
    </w:p>
    <w:p>
      <w:pPr>
        <w:spacing w:before="200" w:after="100"/>
      </w:pPr>
      <w:r>
        <w:rPr>
          <w:b/>
          <w:bCs/>
          <w:color w:val="1F4E79"/>
        </w:rPr>
        <w:t xml:space="preserve">Chaque matin (7h00 AM ET — lundi au vendredi) :</w:t>
      </w:r>
    </w:p>
    <w:p>
      <w:pPr>
        <w:pStyle w:val="ListParagraph"/>
        <w:numPr>
          <w:ilvl w:val="0"/>
          <w:numId w:val="2"/>
        </w:numPr>
      </w:pPr>
      <w:r>
        <w:t xml:space="preserve">Recevoir l'analyse quotidienne de tes positions actives</w:t>
      </w:r>
    </w:p>
    <w:p>
      <w:pPr>
        <w:pStyle w:val="ListParagraph"/>
        <w:numPr>
          <w:ilvl w:val="0"/>
          <w:numId w:val="2"/>
        </w:numPr>
      </w:pPr>
      <w:r>
        <w:t xml:space="preserve">Vérifier les news HIGH IMPACT du jour</w:t>
      </w:r>
    </w:p>
    <w:p>
      <w:pPr>
        <w:pStyle w:val="ListParagraph"/>
        <w:numPr>
          <w:ilvl w:val="0"/>
          <w:numId w:val="2"/>
        </w:numPr>
      </w:pPr>
      <w:r>
        <w:t xml:space="preserve">Lire la thèse IA et le verdict — trade toujours valide ?</w:t>
      </w:r>
    </w:p>
    <w:p>
      <w:pPr>
        <w:spacing w:before="200" w:after="100"/>
      </w:pPr>
      <w:r>
        <w:rPr>
          <w:b/>
          <w:bCs/>
          <w:color w:val="1F4E79"/>
        </w:rPr>
        <w:t xml:space="preserve">En cours de journée :</w:t>
      </w:r>
    </w:p>
    <w:p>
      <w:pPr>
        <w:pStyle w:val="ListParagraph"/>
        <w:numPr>
          <w:ilvl w:val="0"/>
          <w:numId w:val="2"/>
        </w:numPr>
      </w:pPr>
      <w:r>
        <w:t xml:space="preserve">Recevoir les alertes si une paire passe les 4 filtres</w:t>
      </w:r>
    </w:p>
    <w:p>
      <w:pPr>
        <w:pStyle w:val="ListParagraph"/>
        <w:numPr>
          <w:ilvl w:val="0"/>
          <w:numId w:val="2"/>
        </w:numPr>
      </w:pPr>
      <w:r>
        <w:t xml:space="preserve">Analyser l'alerte et décider d'entrer ou non</w:t>
      </w:r>
    </w:p>
    <w:p>
      <w:pPr>
        <w:pStyle w:val="ListParagraph"/>
        <w:numPr>
          <w:ilvl w:val="0"/>
          <w:numId w:val="2"/>
        </w:numPr>
      </w:pPr>
      <w:r>
        <w:t xml:space="preserve">Confirmer sur @apex_positions_bot si tu as pris le trade</w:t>
      </w:r>
    </w:p>
    <w:p>
      <w:pPr>
        <w:pStyle w:val="Heading2"/>
      </w:pPr>
      <w:r>
        <w:t xml:space="preserve">10.2 Les Questions à Se Poser Avant d'Entrer</w:t>
      </w:r>
    </w:p>
    <w:p>
      <w:pPr>
        <w:spacing w:before="200" w:after="100"/>
      </w:pPr>
      <w:r>
        <w:t xml:space="preserve">Avant chaque trade, vérifie mentalement ces 5 questions :</w:t>
      </w:r>
    </w:p>
    <w:p>
      <w:pPr>
        <w:pStyle w:val="ListParagraph"/>
        <w:numPr>
          <w:ilvl w:val="0"/>
          <w:numId w:val="3"/>
        </w:numPr>
      </w:pPr>
      <w:r>
        <w:t xml:space="preserve">Le C2 COT est-il vraiment extrême (RelPos ≤ 20% ou ≥ 80%) ?</w:t>
      </w:r>
    </w:p>
    <w:p>
      <w:pPr>
        <w:pStyle w:val="ListParagraph"/>
        <w:numPr>
          <w:ilvl w:val="0"/>
          <w:numId w:val="3"/>
        </w:numPr>
      </w:pPr>
      <w:r>
        <w:t xml:space="preserve">Le contexte macro confirme-t-il la direction ?</w:t>
      </w:r>
    </w:p>
    <w:p>
      <w:pPr>
        <w:pStyle w:val="ListParagraph"/>
        <w:numPr>
          <w:ilvl w:val="0"/>
          <w:numId w:val="3"/>
        </w:numPr>
      </w:pPr>
      <w:r>
        <w:t xml:space="preserve">Les SMAs H4 sont-elles parfaitement alignées ?</w:t>
      </w:r>
    </w:p>
    <w:p>
      <w:pPr>
        <w:pStyle w:val="ListParagraph"/>
        <w:numPr>
          <w:ilvl w:val="0"/>
          <w:numId w:val="3"/>
        </w:numPr>
      </w:pPr>
      <w:r>
        <w:t xml:space="preserve">Le retail est-il massivement du mauvais côté ?</w:t>
      </w:r>
    </w:p>
    <w:p>
      <w:pPr>
        <w:pStyle w:val="ListParagraph"/>
        <w:numPr>
          <w:ilvl w:val="0"/>
          <w:numId w:val="3"/>
        </w:numPr>
      </w:pPr>
      <w:r>
        <w:t xml:space="preserve">Mon risque est-il bien calculé à 1% du compte ?</w:t>
      </w:r>
    </w:p>
    <w:p>
      <w:pPr>
        <w:spacing w:before="200" w:after="200"/>
      </w:pPr>
      <w:r>
        <w:rPr>
          <w:b/>
          <w:bCs/>
          <w:color w:val="1F4E79"/>
          <w:sz w:val="26"/>
          <w:szCs w:val="26"/>
        </w:rPr>
        <w:t xml:space="preserve">Si tu as 5 OUI → entre. Si tu as le moindre doute → attends.</w:t>
      </w:r>
    </w:p>
    <w:p>
      <w:r>
        <w:br w:type="page"/>
      </w:r>
    </w:p>
    <w:p>
      <w:pPr>
        <w:pStyle w:val="Heading1"/>
      </w:pPr>
      <w:r>
        <w:t xml:space="preserve">Conclusion — Tu es Maintenant Armé pour Trader</w:t>
      </w:r>
    </w:p>
    <w:p>
      <w:pPr>
        <w:spacing w:before="200" w:after="200"/>
      </w:pPr>
      <w:r>
        <w:t xml:space="preserve">Tu viens de parcourir la stratégie APEX complète. Ce n'est pas une stratégie de trading ordinaire — c'est une méthode institutionnelle qui suit les mouvements réels des plus grands acteurs du marché.</w:t>
      </w:r>
    </w:p>
    <w:p>
      <w:pPr>
        <w:spacing w:before="0" w:after="100"/>
      </w:pPr>
      <w:r>
        <w:rPr>
          <w:b/>
          <w:bCs/>
        </w:rPr>
        <w:t xml:space="preserve">Les 4 piliers de ta réussite :</w:t>
      </w:r>
    </w:p>
    <w:p>
      <w:pPr>
        <w:pStyle w:val="ListParagraph"/>
        <w:numPr>
          <w:ilvl w:val="0"/>
          <w:numId w:val="3"/>
        </w:numPr>
      </w:pPr>
      <w:r>
        <w:rPr>
          <w:b/>
          <w:bCs/>
        </w:rPr>
        <w:t xml:space="preserve">Discipline — </w:t>
      </w:r>
      <w:r>
        <w:t xml:space="preserve">ne trader que quand les 4 filtres sont verts</w:t>
      </w:r>
    </w:p>
    <w:p>
      <w:pPr>
        <w:pStyle w:val="ListParagraph"/>
        <w:numPr>
          <w:ilvl w:val="0"/>
          <w:numId w:val="3"/>
        </w:numPr>
      </w:pPr>
      <w:r>
        <w:rPr>
          <w:b/>
          <w:bCs/>
        </w:rPr>
        <w:t xml:space="preserve">Patience — </w:t>
      </w:r>
      <w:r>
        <w:t xml:space="preserve">attendre les setups de qualité même si ça prend des semaines</w:t>
      </w:r>
    </w:p>
    <w:p>
      <w:pPr>
        <w:pStyle w:val="ListParagraph"/>
        <w:numPr>
          <w:ilvl w:val="0"/>
          <w:numId w:val="3"/>
        </w:numPr>
      </w:pPr>
      <w:r>
        <w:rPr>
          <w:b/>
          <w:bCs/>
        </w:rPr>
        <w:t xml:space="preserve">Gestion du risque — </w:t>
      </w:r>
      <w:r>
        <w:t xml:space="preserve">toujours 1% de risque par trade, sans exception</w:t>
      </w:r>
    </w:p>
    <w:p>
      <w:pPr>
        <w:pStyle w:val="ListParagraph"/>
        <w:numPr>
          <w:ilvl w:val="0"/>
          <w:numId w:val="3"/>
        </w:numPr>
      </w:pPr>
      <w:r>
        <w:rPr>
          <w:b/>
          <w:bCs/>
        </w:rPr>
        <w:t xml:space="preserve">Confiance — </w:t>
      </w:r>
      <w:r>
        <w:t xml:space="preserve">faire confiance au système basé sur 3+ ans de données</w:t>
      </w:r>
    </w:p>
    <w:p>
      <w:pPr>
        <w:spacing w:before="300" w:after="200"/>
        <w:jc w:val="center"/>
      </w:pPr>
      <w:r>
        <w:rPr>
          <w:i/>
          <w:iCs/>
          <w:color w:val="1F4E79"/>
          <w:sz w:val="28"/>
          <w:szCs w:val="28"/>
        </w:rPr>
        <w:t xml:space="preserve">"Le marché récompense la patience et punit l'impatience."</w:t>
      </w:r>
    </w:p>
    <w:p>
      <w:pPr>
        <w:spacing w:before="200" w:after="400"/>
      </w:pPr>
      <w:r>
        <w:t xml:space="preserve">Bonne chance dans ton parcours de trader. Le bot APEX est là pour t'accompagner à chaque étape — des alertes au suivi de position, jusqu'au rapport de performance après 30 trades. Tu n'es plus seul face au marché.</w:t>
      </w:r>
    </w:p>
    <w:p>
      <w:pPr>
        <w:spacing w:before="200"/>
        <w:jc w:val="center"/>
      </w:pPr>
      <w:r>
        <w:rPr>
          <w:b/>
          <w:bCs/>
          <w:color w:val="2E75B6"/>
          <w:sz w:val="28"/>
          <w:szCs w:val="28"/>
        </w:rPr>
        <w:t xml:space="preserve">APEX Trading — Suivre les Institutionnels. Battre le Retail.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2026-03-15T17:59:39.120Z</dcterms:created>
  <dcterms:modified xsi:type="dcterms:W3CDTF">2026-03-15T17:59:39.121Z</dcterms:modified>
</cp:coreProperties>
</file>

<file path=docProps/custom.xml><?xml version="1.0" encoding="utf-8"?>
<Properties xmlns="http://schemas.openxmlformats.org/officeDocument/2006/custom-properties" xmlns:vt="http://schemas.openxmlformats.org/officeDocument/2006/docPropsVTypes"/>
</file>