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C79" w:rsidRDefault="00AA65F2" w:rsidP="00AA65F2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7E4493">
        <w:rPr>
          <w:rFonts w:ascii="Arial" w:hAnsi="Arial" w:cs="Arial"/>
          <w:b/>
          <w:sz w:val="28"/>
          <w:szCs w:val="28"/>
        </w:rPr>
        <w:t xml:space="preserve">Scholarly and Popular </w:t>
      </w:r>
      <w:r w:rsidR="00114DDC" w:rsidRPr="007E4493">
        <w:rPr>
          <w:rFonts w:ascii="Arial" w:hAnsi="Arial" w:cs="Arial"/>
          <w:b/>
          <w:sz w:val="28"/>
          <w:szCs w:val="28"/>
        </w:rPr>
        <w:t xml:space="preserve">Articles </w:t>
      </w:r>
      <w:r w:rsidR="000652E0" w:rsidRPr="007E4493">
        <w:rPr>
          <w:rFonts w:ascii="Arial" w:hAnsi="Arial" w:cs="Arial"/>
          <w:b/>
          <w:sz w:val="28"/>
          <w:szCs w:val="28"/>
        </w:rPr>
        <w:t>Rubric</w:t>
      </w:r>
    </w:p>
    <w:p w:rsidR="00B81C89" w:rsidRDefault="00B81C89" w:rsidP="00AA65F2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ENGL 2030</w:t>
      </w:r>
    </w:p>
    <w:p w:rsidR="00B81C89" w:rsidRDefault="00B81C89" w:rsidP="00AA65F2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Fall 2016</w:t>
      </w:r>
    </w:p>
    <w:p w:rsidR="00EB5443" w:rsidRDefault="00EB5443" w:rsidP="00B4142A">
      <w:pPr>
        <w:pStyle w:val="NoSpacing"/>
      </w:pPr>
    </w:p>
    <w:tbl>
      <w:tblPr>
        <w:tblStyle w:val="TableGrid"/>
        <w:tblW w:w="10296" w:type="dxa"/>
        <w:jc w:val="center"/>
        <w:tblLook w:val="04A0" w:firstRow="1" w:lastRow="0" w:firstColumn="1" w:lastColumn="0" w:noHBand="0" w:noVBand="1"/>
      </w:tblPr>
      <w:tblGrid>
        <w:gridCol w:w="3055"/>
        <w:gridCol w:w="2520"/>
        <w:gridCol w:w="2430"/>
        <w:gridCol w:w="2291"/>
      </w:tblGrid>
      <w:tr w:rsidR="00350ED5" w:rsidTr="000B2627">
        <w:trPr>
          <w:trHeight w:val="242"/>
          <w:jc w:val="center"/>
        </w:trPr>
        <w:tc>
          <w:tcPr>
            <w:tcW w:w="3055" w:type="dxa"/>
          </w:tcPr>
          <w:p w:rsidR="00350ED5" w:rsidRDefault="00350ED5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520" w:type="dxa"/>
          </w:tcPr>
          <w:p w:rsidR="00350ED5" w:rsidRPr="007E4493" w:rsidRDefault="00350ED5" w:rsidP="00AA65F2">
            <w:pPr>
              <w:pStyle w:val="NoSpacing"/>
              <w:jc w:val="center"/>
              <w:rPr>
                <w:b/>
              </w:rPr>
            </w:pPr>
            <w:r w:rsidRPr="007E4493">
              <w:rPr>
                <w:rFonts w:ascii="Arial" w:eastAsia="Times New Roman" w:hAnsi="Arial" w:cs="Arial"/>
                <w:b/>
                <w:bCs/>
                <w:color w:val="000000"/>
              </w:rPr>
              <w:t>Exemplary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(2)</w:t>
            </w:r>
          </w:p>
        </w:tc>
        <w:tc>
          <w:tcPr>
            <w:tcW w:w="2430" w:type="dxa"/>
          </w:tcPr>
          <w:p w:rsidR="00350ED5" w:rsidRPr="00AA65F2" w:rsidRDefault="00350ED5" w:rsidP="00AA65F2">
            <w:pPr>
              <w:pStyle w:val="NoSpacing"/>
              <w:jc w:val="center"/>
              <w:rPr>
                <w:rFonts w:ascii="Arial" w:hAnsi="Arial" w:cs="Arial"/>
                <w:smallCaps/>
              </w:rPr>
            </w:pPr>
            <w:r w:rsidRPr="007E4493">
              <w:rPr>
                <w:rFonts w:ascii="Arial" w:eastAsia="Times New Roman" w:hAnsi="Arial" w:cs="Arial"/>
                <w:b/>
                <w:bCs/>
                <w:color w:val="000000"/>
              </w:rPr>
              <w:t>Satisfactory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(1)</w:t>
            </w:r>
          </w:p>
        </w:tc>
        <w:tc>
          <w:tcPr>
            <w:tcW w:w="2291" w:type="dxa"/>
          </w:tcPr>
          <w:p w:rsidR="00350ED5" w:rsidRPr="00AA65F2" w:rsidRDefault="00350ED5" w:rsidP="00AA65F2">
            <w:pPr>
              <w:pStyle w:val="NoSpacing"/>
              <w:jc w:val="center"/>
              <w:rPr>
                <w:rFonts w:ascii="Arial" w:hAnsi="Arial" w:cs="Arial"/>
                <w:smallCaps/>
              </w:rPr>
            </w:pPr>
            <w:r w:rsidRPr="007E4493">
              <w:rPr>
                <w:rFonts w:ascii="Arial" w:eastAsia="Times New Roman" w:hAnsi="Arial" w:cs="Arial"/>
                <w:b/>
                <w:bCs/>
                <w:color w:val="000000"/>
              </w:rPr>
              <w:t>Unsatisfactory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(0)</w:t>
            </w:r>
          </w:p>
        </w:tc>
      </w:tr>
      <w:tr w:rsidR="00350ED5" w:rsidTr="000B2627">
        <w:trPr>
          <w:trHeight w:val="242"/>
          <w:jc w:val="center"/>
        </w:trPr>
        <w:tc>
          <w:tcPr>
            <w:tcW w:w="3055" w:type="dxa"/>
          </w:tcPr>
          <w:p w:rsidR="00350ED5" w:rsidRPr="00B81C89" w:rsidRDefault="00350ED5" w:rsidP="00350ED5">
            <w:pPr>
              <w:pStyle w:val="ListParagraph"/>
              <w:numPr>
                <w:ilvl w:val="0"/>
                <w:numId w:val="1"/>
              </w:numPr>
              <w:ind w:left="420" w:hanging="450"/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What is the title of the article? What is the title of the journal, magazine, or website that published it?</w:t>
            </w:r>
          </w:p>
        </w:tc>
        <w:tc>
          <w:tcPr>
            <w:tcW w:w="2520" w:type="dxa"/>
          </w:tcPr>
          <w:p w:rsidR="00350ED5" w:rsidRPr="00094F51" w:rsidRDefault="00350ED5" w:rsidP="00BD2219">
            <w:pPr>
              <w:pStyle w:val="NoSpacing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</w:rPr>
              <w:t xml:space="preserve">Identifies the correct article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</w:rPr>
              <w:t xml:space="preserve">and periodical titles for </w:t>
            </w:r>
            <w:r w:rsidR="00BD2219">
              <w:rPr>
                <w:rFonts w:ascii="Arial" w:eastAsia="Times New Roman" w:hAnsi="Arial" w:cs="Arial"/>
                <w:bCs/>
                <w:color w:val="000000"/>
              </w:rPr>
              <w:t>BOTH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</w:rPr>
              <w:t xml:space="preserve"> examples</w:t>
            </w:r>
            <w:r w:rsidR="00094F51">
              <w:rPr>
                <w:rFonts w:ascii="Arial" w:eastAsia="Times New Roman" w:hAnsi="Arial" w:cs="Arial"/>
                <w:bCs/>
                <w:color w:val="000000"/>
              </w:rPr>
              <w:t xml:space="preserve"> </w:t>
            </w:r>
            <w:r w:rsidR="00094F51" w:rsidRPr="00094F51">
              <w:rPr>
                <w:rFonts w:ascii="Arial" w:eastAsia="Times New Roman" w:hAnsi="Arial" w:cs="Arial"/>
                <w:bCs/>
                <w:color w:val="000000"/>
                <w:sz w:val="18"/>
              </w:rPr>
              <w:t xml:space="preserve">(“How to Graduate from Starbucks” from </w:t>
            </w:r>
            <w:r w:rsidR="00094F51" w:rsidRPr="00094F51">
              <w:rPr>
                <w:rFonts w:ascii="Arial" w:eastAsia="Times New Roman" w:hAnsi="Arial" w:cs="Arial"/>
                <w:bCs/>
                <w:i/>
                <w:color w:val="000000"/>
                <w:sz w:val="18"/>
              </w:rPr>
              <w:t>The Atlantic</w:t>
            </w:r>
            <w:r w:rsidR="00094F51" w:rsidRPr="00094F51">
              <w:rPr>
                <w:rFonts w:ascii="Arial" w:eastAsia="Times New Roman" w:hAnsi="Arial" w:cs="Arial"/>
                <w:bCs/>
                <w:color w:val="000000"/>
                <w:sz w:val="18"/>
              </w:rPr>
              <w:t xml:space="preserve"> and “Understanding Sources of Financial Support for Adult Learners” from </w:t>
            </w:r>
            <w:r w:rsidR="00094F51" w:rsidRPr="00094F51">
              <w:rPr>
                <w:rFonts w:ascii="Arial" w:eastAsia="Times New Roman" w:hAnsi="Arial" w:cs="Arial"/>
                <w:bCs/>
                <w:i/>
                <w:color w:val="000000"/>
                <w:sz w:val="18"/>
              </w:rPr>
              <w:t>The Journal of Continuing Higher Education</w:t>
            </w:r>
            <w:r w:rsidR="00094F51" w:rsidRPr="00094F51">
              <w:rPr>
                <w:rFonts w:ascii="Arial" w:eastAsia="Times New Roman" w:hAnsi="Arial" w:cs="Arial"/>
                <w:bCs/>
                <w:color w:val="000000"/>
                <w:sz w:val="18"/>
              </w:rPr>
              <w:t>)</w:t>
            </w:r>
            <w:r w:rsidR="00094F51">
              <w:rPr>
                <w:rFonts w:ascii="Arial" w:eastAsia="Times New Roman" w:hAnsi="Arial" w:cs="Arial"/>
                <w:bCs/>
                <w:color w:val="000000"/>
                <w:sz w:val="18"/>
              </w:rPr>
              <w:t>.</w:t>
            </w:r>
          </w:p>
        </w:tc>
        <w:tc>
          <w:tcPr>
            <w:tcW w:w="2430" w:type="dxa"/>
          </w:tcPr>
          <w:p w:rsidR="00350ED5" w:rsidRPr="00B81C89" w:rsidRDefault="003B6E8B" w:rsidP="003B6E8B">
            <w:pPr>
              <w:pStyle w:val="NoSpacing"/>
              <w:jc w:val="center"/>
              <w:rPr>
                <w:rFonts w:ascii="Arial" w:eastAsia="Times New Roman" w:hAnsi="Arial" w:cs="Arial"/>
                <w:bCs/>
                <w:color w:val="000000"/>
              </w:rPr>
            </w:pPr>
            <w:r>
              <w:rPr>
                <w:rFonts w:ascii="Arial" w:eastAsia="Times New Roman" w:hAnsi="Arial" w:cs="Arial"/>
                <w:bCs/>
                <w:color w:val="000000"/>
              </w:rPr>
              <w:t xml:space="preserve">Fully identifies the article and periodical for ONE example and partially identifies the other 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</w:rPr>
              <w:t>(e.g.,</w:t>
            </w:r>
            <w:r>
              <w:rPr>
                <w:rFonts w:ascii="Arial" w:eastAsia="Times New Roman" w:hAnsi="Arial" w:cs="Arial"/>
                <w:bCs/>
                <w:color w:val="000000"/>
              </w:rPr>
              <w:t xml:space="preserve"> gives one periodical title but not the other, or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</w:rPr>
              <w:t xml:space="preserve"> “The Money Report” instead of </w:t>
            </w:r>
            <w:r w:rsidR="00350ED5" w:rsidRPr="00B81C89">
              <w:rPr>
                <w:rFonts w:ascii="Arial" w:eastAsia="Times New Roman" w:hAnsi="Arial" w:cs="Arial"/>
                <w:bCs/>
                <w:i/>
                <w:color w:val="000000"/>
              </w:rPr>
              <w:t>The Atlantic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</w:rPr>
              <w:t>).</w:t>
            </w:r>
          </w:p>
        </w:tc>
        <w:tc>
          <w:tcPr>
            <w:tcW w:w="2291" w:type="dxa"/>
          </w:tcPr>
          <w:p w:rsidR="00350ED5" w:rsidRPr="00B81C89" w:rsidRDefault="00350ED5" w:rsidP="00AA65F2">
            <w:pPr>
              <w:pStyle w:val="NoSpacing"/>
              <w:jc w:val="center"/>
              <w:rPr>
                <w:rFonts w:ascii="Arial" w:eastAsia="Times New Roman" w:hAnsi="Arial" w:cs="Arial"/>
                <w:bCs/>
                <w:color w:val="00000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</w:rPr>
              <w:t>Only provides the article titles</w:t>
            </w:r>
            <w:r w:rsidR="003B6E8B">
              <w:rPr>
                <w:rFonts w:ascii="Arial" w:eastAsia="Times New Roman" w:hAnsi="Arial" w:cs="Arial"/>
                <w:bCs/>
                <w:color w:val="000000"/>
              </w:rPr>
              <w:t xml:space="preserve"> for BOTH examples</w:t>
            </w:r>
            <w:r w:rsidRPr="00B81C89">
              <w:rPr>
                <w:rFonts w:ascii="Arial" w:eastAsia="Times New Roman" w:hAnsi="Arial" w:cs="Arial"/>
                <w:bCs/>
                <w:color w:val="000000"/>
              </w:rPr>
              <w:t xml:space="preserve"> (no periodical titles), or misidentifies the article/periodical titles entirely.</w:t>
            </w:r>
          </w:p>
        </w:tc>
      </w:tr>
      <w:tr w:rsidR="00350ED5" w:rsidTr="000B2627">
        <w:trPr>
          <w:trHeight w:val="1728"/>
          <w:jc w:val="center"/>
        </w:trPr>
        <w:tc>
          <w:tcPr>
            <w:tcW w:w="3055" w:type="dxa"/>
          </w:tcPr>
          <w:p w:rsidR="00350ED5" w:rsidRPr="00B81C89" w:rsidRDefault="00350ED5" w:rsidP="00AA65F2"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  <w:p w:rsidR="00350ED5" w:rsidRPr="00B81C89" w:rsidRDefault="00350ED5" w:rsidP="00350ED5">
            <w:pPr>
              <w:pStyle w:val="ListParagraph"/>
              <w:numPr>
                <w:ilvl w:val="0"/>
                <w:numId w:val="1"/>
              </w:numPr>
              <w:ind w:left="330"/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Do the authors have any credentials listed, such as a degree or professional experience? Why does knowing this matter?</w:t>
            </w:r>
          </w:p>
        </w:tc>
        <w:tc>
          <w:tcPr>
            <w:tcW w:w="2520" w:type="dxa"/>
          </w:tcPr>
          <w:p w:rsidR="00350ED5" w:rsidRPr="00B81C89" w:rsidRDefault="00350ED5" w:rsidP="0031732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Identifies 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existence of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credenti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als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for BOTH examples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. Provides rationale for how authors’ credentials impact authority/credibility</w:t>
            </w:r>
            <w:r w:rsidR="00094F51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(e.g., “Yes, shows their credibility on the topic”)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. </w:t>
            </w:r>
            <w:r w:rsidRPr="00B81C89">
              <w:rPr>
                <w:rFonts w:ascii="Arial" w:hAnsi="Arial" w:cs="Arial"/>
                <w:szCs w:val="20"/>
              </w:rPr>
              <w:t xml:space="preserve"> </w:t>
            </w:r>
          </w:p>
        </w:tc>
        <w:tc>
          <w:tcPr>
            <w:tcW w:w="2430" w:type="dxa"/>
          </w:tcPr>
          <w:p w:rsidR="00350ED5" w:rsidRPr="00B81C89" w:rsidRDefault="00350ED5" w:rsidP="0031732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Identifies 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existence of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credentials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for BOTH 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examples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. Does NOT provide rationale for how authors’ credentials impact authority/credibility. </w:t>
            </w:r>
            <w:r w:rsidRPr="00B81C89">
              <w:rPr>
                <w:rFonts w:ascii="Arial" w:hAnsi="Arial" w:cs="Arial"/>
                <w:szCs w:val="20"/>
              </w:rPr>
              <w:t xml:space="preserve"> </w:t>
            </w:r>
          </w:p>
        </w:tc>
        <w:tc>
          <w:tcPr>
            <w:tcW w:w="2291" w:type="dxa"/>
          </w:tcPr>
          <w:p w:rsidR="00350ED5" w:rsidRPr="00B81C89" w:rsidRDefault="00350ED5" w:rsidP="0031732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Does NOT identify </w:t>
            </w:r>
            <w:r w:rsidR="00BD221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existence of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credentials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for BOTH 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examples</w:t>
            </w:r>
            <w:r w:rsidR="00BD221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(e.g., indicates </w:t>
            </w:r>
            <w:r w:rsidR="00BD2219">
              <w:rPr>
                <w:rFonts w:ascii="Arial" w:eastAsia="Times New Roman" w:hAnsi="Arial" w:cs="Arial"/>
                <w:bCs/>
                <w:i/>
                <w:color w:val="000000"/>
                <w:szCs w:val="20"/>
              </w:rPr>
              <w:t>The Atlantic</w:t>
            </w:r>
            <w:r w:rsidR="00BD221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article author has no credentials)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. </w:t>
            </w:r>
          </w:p>
        </w:tc>
      </w:tr>
      <w:tr w:rsidR="00350ED5" w:rsidTr="000B2627">
        <w:trPr>
          <w:trHeight w:val="1728"/>
          <w:jc w:val="center"/>
        </w:trPr>
        <w:tc>
          <w:tcPr>
            <w:tcW w:w="3055" w:type="dxa"/>
          </w:tcPr>
          <w:p w:rsidR="00350ED5" w:rsidRPr="00B81C89" w:rsidRDefault="00350ED5" w:rsidP="00AA65F2"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  <w:p w:rsidR="00350ED5" w:rsidRPr="00B81C89" w:rsidRDefault="00350ED5" w:rsidP="00350ED5">
            <w:pPr>
              <w:pStyle w:val="ListParagraph"/>
              <w:numPr>
                <w:ilvl w:val="0"/>
                <w:numId w:val="1"/>
              </w:numPr>
              <w:ind w:left="330"/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What kind of research went into the article? How can you tell?</w:t>
            </w:r>
          </w:p>
        </w:tc>
        <w:tc>
          <w:tcPr>
            <w:tcW w:w="2520" w:type="dxa"/>
          </w:tcPr>
          <w:p w:rsidR="00350ED5" w:rsidRPr="00B81C89" w:rsidRDefault="00350ED5" w:rsidP="00935BFE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Qualifies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types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of research for BOTH examples. Provides reasoning based on evidence in the text (e.g. </w:t>
            </w:r>
            <w:r w:rsidR="00935BFE">
              <w:rPr>
                <w:rFonts w:ascii="Arial" w:eastAsia="Times New Roman" w:hAnsi="Arial" w:cs="Arial"/>
                <w:bCs/>
                <w:color w:val="000000"/>
                <w:szCs w:val="20"/>
              </w:rPr>
              <w:t>interviews, references).</w:t>
            </w:r>
          </w:p>
        </w:tc>
        <w:tc>
          <w:tcPr>
            <w:tcW w:w="2430" w:type="dxa"/>
          </w:tcPr>
          <w:p w:rsidR="00350ED5" w:rsidRPr="00B81C89" w:rsidRDefault="00350ED5" w:rsidP="00540E8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Qualifies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types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of research for BOTH examples. Does NOT provide reasoning based on evidence in the text.</w:t>
            </w:r>
          </w:p>
        </w:tc>
        <w:tc>
          <w:tcPr>
            <w:tcW w:w="2291" w:type="dxa"/>
          </w:tcPr>
          <w:p w:rsidR="00350ED5" w:rsidRPr="00B81C89" w:rsidRDefault="00350ED5" w:rsidP="00935BFE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Does NOT qualify </w:t>
            </w:r>
            <w:r w:rsidR="003B6E8B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BOTH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types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of res</w:t>
            </w:r>
            <w:r w:rsidR="00935BFE">
              <w:rPr>
                <w:rFonts w:ascii="Arial" w:eastAsia="Times New Roman" w:hAnsi="Arial" w:cs="Arial"/>
                <w:bCs/>
                <w:color w:val="000000"/>
                <w:szCs w:val="20"/>
              </w:rPr>
              <w:t>earch (e.g., gives an amount of research rather than a type: “a lot”, “not much” etc.)</w:t>
            </w:r>
          </w:p>
        </w:tc>
      </w:tr>
      <w:tr w:rsidR="00350ED5" w:rsidTr="000B2627">
        <w:trPr>
          <w:trHeight w:val="1728"/>
          <w:jc w:val="center"/>
        </w:trPr>
        <w:tc>
          <w:tcPr>
            <w:tcW w:w="3055" w:type="dxa"/>
          </w:tcPr>
          <w:p w:rsidR="00350ED5" w:rsidRPr="00B81C89" w:rsidRDefault="00350ED5" w:rsidP="00AA65F2"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  <w:p w:rsidR="00350ED5" w:rsidRPr="00B81C89" w:rsidRDefault="00350ED5" w:rsidP="00350ED5">
            <w:pPr>
              <w:pStyle w:val="ListParagraph"/>
              <w:numPr>
                <w:ilvl w:val="0"/>
                <w:numId w:val="1"/>
              </w:numPr>
              <w:ind w:left="330"/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What style of language is used? Please provide an example.</w:t>
            </w:r>
          </w:p>
        </w:tc>
        <w:tc>
          <w:tcPr>
            <w:tcW w:w="2520" w:type="dxa"/>
          </w:tcPr>
          <w:p w:rsidR="00350ED5" w:rsidRPr="00B81C89" w:rsidRDefault="002F6692" w:rsidP="00540E8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Differentiates 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the style of language for BOTH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example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s and provides examples from the text.</w:t>
            </w:r>
          </w:p>
        </w:tc>
        <w:tc>
          <w:tcPr>
            <w:tcW w:w="2430" w:type="dxa"/>
          </w:tcPr>
          <w:p w:rsidR="00350ED5" w:rsidRPr="00B81C89" w:rsidRDefault="002F6692" w:rsidP="00540E8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Differentiates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the style of language for BOTH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example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s and does NOT provide examples from the text.</w:t>
            </w:r>
          </w:p>
        </w:tc>
        <w:tc>
          <w:tcPr>
            <w:tcW w:w="2291" w:type="dxa"/>
          </w:tcPr>
          <w:p w:rsidR="00350ED5" w:rsidRPr="00B81C89" w:rsidRDefault="002F6692" w:rsidP="00540E8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Does NOT differentiate </w:t>
            </w:r>
            <w:r w:rsidR="00350ED5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the style of language for BOTH 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examples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(indicates the same style of language for both articles), or blank.</w:t>
            </w:r>
          </w:p>
        </w:tc>
      </w:tr>
      <w:tr w:rsidR="00350ED5" w:rsidTr="000B2627">
        <w:trPr>
          <w:trHeight w:val="1728"/>
          <w:jc w:val="center"/>
        </w:trPr>
        <w:tc>
          <w:tcPr>
            <w:tcW w:w="3055" w:type="dxa"/>
          </w:tcPr>
          <w:p w:rsidR="00350ED5" w:rsidRPr="00B81C89" w:rsidRDefault="00350ED5" w:rsidP="00AA65F2"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  <w:p w:rsidR="00350ED5" w:rsidRPr="00B81C89" w:rsidRDefault="00350ED5" w:rsidP="00350ED5">
            <w:pPr>
              <w:pStyle w:val="ListParagraph"/>
              <w:numPr>
                <w:ilvl w:val="0"/>
                <w:numId w:val="1"/>
              </w:numPr>
              <w:ind w:left="330"/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Identify the intended audience of the article. Who would read this? How can you tell?</w:t>
            </w:r>
          </w:p>
        </w:tc>
        <w:tc>
          <w:tcPr>
            <w:tcW w:w="2520" w:type="dxa"/>
          </w:tcPr>
          <w:p w:rsidR="00350ED5" w:rsidRPr="00B81C89" w:rsidRDefault="00350ED5" w:rsidP="00317329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Identifies researchers within the academic field (e.g. </w:t>
            </w:r>
            <w:r w:rsidR="00317329">
              <w:rPr>
                <w:rFonts w:ascii="Arial" w:eastAsia="Times New Roman" w:hAnsi="Arial" w:cs="Arial"/>
                <w:bCs/>
                <w:color w:val="000000"/>
                <w:szCs w:val="20"/>
              </w:rPr>
              <w:t>“continuing educators”</w:t>
            </w:r>
            <w:r w:rsidR="00540E89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)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AND “the public”</w:t>
            </w:r>
            <w:r w:rsidR="003B6E8B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or “casual readers”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for the popular source.</w:t>
            </w:r>
          </w:p>
        </w:tc>
        <w:tc>
          <w:tcPr>
            <w:tcW w:w="2430" w:type="dxa"/>
          </w:tcPr>
          <w:p w:rsidR="00350ED5" w:rsidRPr="00B81C89" w:rsidRDefault="00350ED5" w:rsidP="003B6E8B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Identifies generic audiences for BOTH articles (e.g. “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students</w:t>
            </w:r>
            <w:r w:rsidR="003B6E8B"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 over age 24,” or 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“</w:t>
            </w:r>
            <w:r w:rsidR="003B6E8B">
              <w:rPr>
                <w:rFonts w:ascii="Arial" w:eastAsia="Times New Roman" w:hAnsi="Arial" w:cs="Arial"/>
                <w:bCs/>
                <w:color w:val="000000"/>
                <w:szCs w:val="20"/>
              </w:rPr>
              <w:t>people on financial aid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”).</w:t>
            </w:r>
          </w:p>
        </w:tc>
        <w:tc>
          <w:tcPr>
            <w:tcW w:w="2291" w:type="dxa"/>
          </w:tcPr>
          <w:p w:rsidR="00350ED5" w:rsidRPr="00B81C89" w:rsidRDefault="00350ED5" w:rsidP="00212DEA">
            <w:pPr>
              <w:rPr>
                <w:rFonts w:ascii="Arial" w:hAnsi="Arial" w:cs="Arial"/>
                <w:szCs w:val="20"/>
              </w:rPr>
            </w:pP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Does NOT differentiate between audiences (indicates the same audience for both articles)</w:t>
            </w:r>
            <w:r w:rsidR="002F6692"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, or blank</w:t>
            </w:r>
            <w:r w:rsidRPr="00B81C89">
              <w:rPr>
                <w:rFonts w:ascii="Arial" w:eastAsia="Times New Roman" w:hAnsi="Arial" w:cs="Arial"/>
                <w:bCs/>
                <w:color w:val="000000"/>
                <w:szCs w:val="20"/>
              </w:rPr>
              <w:t>.</w:t>
            </w:r>
          </w:p>
        </w:tc>
      </w:tr>
    </w:tbl>
    <w:p w:rsidR="00AA65F2" w:rsidRDefault="00AA65F2" w:rsidP="009D4464">
      <w:pPr>
        <w:rPr>
          <w:rFonts w:ascii="Arial" w:hAnsi="Arial" w:cs="Arial"/>
        </w:rPr>
      </w:pPr>
    </w:p>
    <w:sectPr w:rsidR="00AA65F2" w:rsidSect="00685D32">
      <w:headerReference w:type="default" r:id="rId7"/>
      <w:pgSz w:w="12240" w:h="15840"/>
      <w:pgMar w:top="1296" w:right="1080" w:bottom="576" w:left="108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B35" w:rsidRDefault="00086B35" w:rsidP="00BF66CA">
      <w:pPr>
        <w:spacing w:after="0" w:line="240" w:lineRule="auto"/>
      </w:pPr>
      <w:r>
        <w:separator/>
      </w:r>
    </w:p>
  </w:endnote>
  <w:endnote w:type="continuationSeparator" w:id="0">
    <w:p w:rsidR="00086B35" w:rsidRDefault="00086B35" w:rsidP="00BF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B35" w:rsidRDefault="00086B35" w:rsidP="00BF66CA">
      <w:pPr>
        <w:spacing w:after="0" w:line="240" w:lineRule="auto"/>
      </w:pPr>
      <w:r>
        <w:separator/>
      </w:r>
    </w:p>
  </w:footnote>
  <w:footnote w:type="continuationSeparator" w:id="0">
    <w:p w:rsidR="00086B35" w:rsidRDefault="00086B35" w:rsidP="00BF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389" w:rsidRDefault="00073389" w:rsidP="00073389">
    <w:pP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0" distB="0" distL="114300" distR="114300" simplePos="0" relativeHeight="251659264" behindDoc="0" locked="0" layoutInCell="0" hidden="0" allowOverlap="0" wp14:anchorId="122FE7FB" wp14:editId="52E33E22">
          <wp:simplePos x="0" y="0"/>
          <wp:positionH relativeFrom="margin">
            <wp:posOffset>47625</wp:posOffset>
          </wp:positionH>
          <wp:positionV relativeFrom="paragraph">
            <wp:posOffset>9525</wp:posOffset>
          </wp:positionV>
          <wp:extent cx="354193" cy="389436"/>
          <wp:effectExtent l="0" t="0" r="0" b="0"/>
          <wp:wrapSquare wrapText="bothSides" distT="0" distB="0" distL="114300" distR="114300"/>
          <wp:docPr id="10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4193" cy="389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73389" w:rsidRPr="00066F92" w:rsidRDefault="00073389" w:rsidP="00073389">
    <w:pPr>
      <w:tabs>
        <w:tab w:val="center" w:pos="4680"/>
        <w:tab w:val="right" w:pos="9360"/>
      </w:tabs>
      <w:spacing w:after="0" w:line="240" w:lineRule="auto"/>
      <w:jc w:val="center"/>
      <w:rPr>
        <w:rFonts w:ascii="Trebuchet MS" w:hAnsi="Trebuchet MS"/>
        <w:b/>
        <w:color w:val="006699"/>
      </w:rPr>
    </w:pPr>
    <w:r w:rsidRPr="00066F92">
      <w:rPr>
        <w:rFonts w:ascii="Trebuchet MS" w:eastAsia="Trebuchet MS" w:hAnsi="Trebuchet MS" w:cs="Trebuchet MS"/>
        <w:b/>
        <w:color w:val="006699"/>
        <w:sz w:val="18"/>
        <w:szCs w:val="18"/>
      </w:rPr>
      <w:t>Ask Us | Text: 303-848-8444 |Email:</w:t>
    </w:r>
    <w:r>
      <w:rPr>
        <w:rFonts w:ascii="Trebuchet MS" w:eastAsia="Trebuchet MS" w:hAnsi="Trebuchet MS" w:cs="Trebuchet MS"/>
        <w:b/>
        <w:color w:val="006699"/>
        <w:sz w:val="18"/>
        <w:szCs w:val="18"/>
      </w:rPr>
      <w:t xml:space="preserve"> library.eref@ucdenver.edu</w:t>
    </w:r>
  </w:p>
  <w:p w:rsidR="00073389" w:rsidRPr="00066F92" w:rsidRDefault="00073389" w:rsidP="00073389">
    <w:pPr>
      <w:tabs>
        <w:tab w:val="center" w:pos="4680"/>
        <w:tab w:val="right" w:pos="9360"/>
      </w:tabs>
      <w:spacing w:after="0" w:line="240" w:lineRule="auto"/>
      <w:ind w:firstLine="720"/>
      <w:jc w:val="center"/>
      <w:rPr>
        <w:rFonts w:ascii="Trebuchet MS" w:hAnsi="Trebuchet MS"/>
        <w:color w:val="006699"/>
      </w:rPr>
    </w:pPr>
    <w:r w:rsidRPr="00066F92">
      <w:rPr>
        <w:rFonts w:ascii="Trebuchet MS" w:hAnsi="Trebuchet MS"/>
        <w:b/>
        <w:color w:val="006699"/>
        <w:sz w:val="18"/>
        <w:szCs w:val="18"/>
      </w:rPr>
      <w:t>Follow us on Twitter: @</w:t>
    </w:r>
    <w:proofErr w:type="spellStart"/>
    <w:r w:rsidRPr="00066F92">
      <w:rPr>
        <w:rFonts w:ascii="Trebuchet MS" w:hAnsi="Trebuchet MS"/>
        <w:b/>
        <w:color w:val="006699"/>
        <w:sz w:val="18"/>
        <w:szCs w:val="18"/>
      </w:rPr>
      <w:t>aurarialibrary</w:t>
    </w:r>
    <w:proofErr w:type="spellEnd"/>
  </w:p>
  <w:p w:rsidR="00073389" w:rsidRDefault="00086B35">
    <w:pPr>
      <w:pStyle w:val="Header"/>
    </w:pPr>
    <w:r>
      <w:rPr>
        <w:rFonts w:ascii="Arial" w:hAnsi="Arial" w:cs="Arial"/>
        <w:b/>
        <w:sz w:val="28"/>
        <w:szCs w:val="28"/>
      </w:rPr>
      <w:pict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F681F"/>
    <w:multiLevelType w:val="hybridMultilevel"/>
    <w:tmpl w:val="9CB693A6"/>
    <w:lvl w:ilvl="0" w:tplc="6534F6A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CA"/>
    <w:rsid w:val="000652E0"/>
    <w:rsid w:val="00071D75"/>
    <w:rsid w:val="00073389"/>
    <w:rsid w:val="00086B35"/>
    <w:rsid w:val="00094F51"/>
    <w:rsid w:val="000B2627"/>
    <w:rsid w:val="00114DDC"/>
    <w:rsid w:val="00117741"/>
    <w:rsid w:val="00146E5E"/>
    <w:rsid w:val="00182C41"/>
    <w:rsid w:val="001B127B"/>
    <w:rsid w:val="001C747F"/>
    <w:rsid w:val="00212DEA"/>
    <w:rsid w:val="002438BD"/>
    <w:rsid w:val="002F6692"/>
    <w:rsid w:val="00317329"/>
    <w:rsid w:val="003262B2"/>
    <w:rsid w:val="00350ED5"/>
    <w:rsid w:val="00370D11"/>
    <w:rsid w:val="00380EFD"/>
    <w:rsid w:val="003A7F34"/>
    <w:rsid w:val="003B6E8B"/>
    <w:rsid w:val="00405C79"/>
    <w:rsid w:val="004720FE"/>
    <w:rsid w:val="00476F71"/>
    <w:rsid w:val="004A08D0"/>
    <w:rsid w:val="00502F17"/>
    <w:rsid w:val="00540E89"/>
    <w:rsid w:val="00596CDA"/>
    <w:rsid w:val="00631C5F"/>
    <w:rsid w:val="00685D32"/>
    <w:rsid w:val="006B263B"/>
    <w:rsid w:val="006D5D39"/>
    <w:rsid w:val="00726086"/>
    <w:rsid w:val="00774DAA"/>
    <w:rsid w:val="007E4493"/>
    <w:rsid w:val="00935BFE"/>
    <w:rsid w:val="009A24A5"/>
    <w:rsid w:val="009D4464"/>
    <w:rsid w:val="00A633E5"/>
    <w:rsid w:val="00A647F1"/>
    <w:rsid w:val="00A76FE3"/>
    <w:rsid w:val="00AA2CC8"/>
    <w:rsid w:val="00AA65F2"/>
    <w:rsid w:val="00B16ED4"/>
    <w:rsid w:val="00B4142A"/>
    <w:rsid w:val="00B81C89"/>
    <w:rsid w:val="00B85007"/>
    <w:rsid w:val="00BD2219"/>
    <w:rsid w:val="00BE01AE"/>
    <w:rsid w:val="00BF66CA"/>
    <w:rsid w:val="00CB1BA8"/>
    <w:rsid w:val="00CB70D6"/>
    <w:rsid w:val="00DF6D04"/>
    <w:rsid w:val="00E15966"/>
    <w:rsid w:val="00E76534"/>
    <w:rsid w:val="00EB5443"/>
    <w:rsid w:val="00F0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7186607-48BE-4FF8-86C7-ED72E42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C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6CA"/>
  </w:style>
  <w:style w:type="paragraph" w:styleId="Footer">
    <w:name w:val="footer"/>
    <w:basedOn w:val="Normal"/>
    <w:link w:val="FooterChar"/>
    <w:uiPriority w:val="99"/>
    <w:unhideWhenUsed/>
    <w:rsid w:val="00BF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6CA"/>
  </w:style>
  <w:style w:type="character" w:styleId="PlaceholderText">
    <w:name w:val="Placeholder Text"/>
    <w:basedOn w:val="DefaultParagraphFont"/>
    <w:uiPriority w:val="99"/>
    <w:semiHidden/>
    <w:rsid w:val="00BF66C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6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A6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A65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0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University Library">
      <a:dk1>
        <a:sysClr val="windowText" lastClr="000000"/>
      </a:dk1>
      <a:lt1>
        <a:sysClr val="window" lastClr="FFFFFF"/>
      </a:lt1>
      <a:dk2>
        <a:srgbClr val="D9D2B0"/>
      </a:dk2>
      <a:lt2>
        <a:srgbClr val="EEECE1"/>
      </a:lt2>
      <a:accent1>
        <a:srgbClr val="004F75"/>
      </a:accent1>
      <a:accent2>
        <a:srgbClr val="AA0000"/>
      </a:accent2>
      <a:accent3>
        <a:srgbClr val="D9D2B0"/>
      </a:accent3>
      <a:accent4>
        <a:srgbClr val="585858"/>
      </a:accent4>
      <a:accent5>
        <a:srgbClr val="4BACC6"/>
      </a:accent5>
      <a:accent6>
        <a:srgbClr val="F79646"/>
      </a:accent6>
      <a:hlink>
        <a:srgbClr val="004F75"/>
      </a:hlink>
      <a:folHlink>
        <a:srgbClr val="AA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Colorado State University-Pueblo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</dc:creator>
  <cp:keywords/>
  <dc:description/>
  <cp:lastModifiedBy>Ian B</cp:lastModifiedBy>
  <cp:revision>2</cp:revision>
  <cp:lastPrinted>2016-10-18T15:55:00Z</cp:lastPrinted>
  <dcterms:created xsi:type="dcterms:W3CDTF">2017-08-19T21:18:00Z</dcterms:created>
  <dcterms:modified xsi:type="dcterms:W3CDTF">2017-08-19T21:18:00Z</dcterms:modified>
</cp:coreProperties>
</file>