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0427" w14:textId="77777777" w:rsidR="00056E7E" w:rsidRPr="000047D3" w:rsidRDefault="00827DCE">
      <w:pPr>
        <w:pStyle w:val="Title"/>
        <w:jc w:val="center"/>
        <w:rPr>
          <w:rFonts w:asciiTheme="minorHAnsi" w:hAnsiTheme="minorHAnsi"/>
          <w:sz w:val="48"/>
          <w:szCs w:val="72"/>
        </w:rPr>
      </w:pPr>
      <w:r w:rsidRPr="000047D3">
        <w:rPr>
          <w:rFonts w:asciiTheme="minorHAnsi" w:hAnsiTheme="minorHAnsi"/>
          <w:sz w:val="48"/>
          <w:szCs w:val="72"/>
        </w:rPr>
        <w:t>THE TWELVE DOMINIONS: CULTURE, CUSTOM, AND SOUL</w:t>
      </w:r>
    </w:p>
    <w:p w14:paraId="203E03CE" w14:textId="49FB684D" w:rsidR="00056E7E" w:rsidRPr="000047D3" w:rsidRDefault="00E7228C">
      <w:pPr>
        <w:pStyle w:val="Heading1"/>
        <w:rPr>
          <w:rFonts w:asciiTheme="minorHAnsi" w:hAnsiTheme="minorHAnsi"/>
          <w:sz w:val="40"/>
          <w:szCs w:val="36"/>
        </w:rPr>
      </w:pPr>
      <w:r w:rsidRPr="000047D3">
        <w:rPr>
          <w:rFonts w:asciiTheme="minorHAnsi" w:hAnsiTheme="minorHAnsi"/>
          <w:sz w:val="40"/>
          <w:szCs w:val="36"/>
        </w:rPr>
        <w:t>D</w:t>
      </w:r>
      <w:r w:rsidR="00827DCE" w:rsidRPr="000047D3">
        <w:rPr>
          <w:rFonts w:asciiTheme="minorHAnsi" w:hAnsiTheme="minorHAnsi"/>
          <w:sz w:val="40"/>
          <w:szCs w:val="36"/>
        </w:rPr>
        <w:t>OMINION I: DOMINION OF AUREM</w:t>
      </w:r>
    </w:p>
    <w:p w14:paraId="0624A6B1"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Aurelia (formerly Atlanta)</w:t>
      </w:r>
    </w:p>
    <w:p w14:paraId="471B9843"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Georgia, Alabama, Mississippi, Tennessee, South Carolina, North Carolina</w:t>
      </w:r>
    </w:p>
    <w:p w14:paraId="72AC1310"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4E644718" w14:textId="77777777" w:rsidR="00056E7E" w:rsidRPr="000047D3" w:rsidRDefault="00827DCE">
      <w:pPr>
        <w:rPr>
          <w:rFonts w:asciiTheme="minorHAnsi" w:hAnsiTheme="minorHAnsi"/>
          <w:sz w:val="24"/>
          <w:szCs w:val="28"/>
        </w:rPr>
      </w:pPr>
      <w:r w:rsidRPr="000047D3">
        <w:rPr>
          <w:rFonts w:asciiTheme="minorHAnsi" w:hAnsiTheme="minorHAnsi"/>
          <w:sz w:val="24"/>
          <w:szCs w:val="28"/>
        </w:rPr>
        <w:t>Atlanta was already a city that knew how to survive being remade. It burned in 1864 and rebuilt itself into something loud, proud, and impossible to ignore. By the time the Empire came for it, Atlanta had Black wealth, Black culture, Black education, and Black memory built so deep into the bones of the city that the Covenant Coalition could not just flatten it without admitting what it was really trying to erase. So they did what the Empire does best: they dressed the thing up and called it restoration. The BeltLine became a ceremonial promenade lined with Empire statues and Broadcast screens. Historic neighborhoods became Stewardwife districts — pretty, watched, and presentable in that way that makes beauty feel like a threat. Peachtree Street became Covenant Way. Magnolias went everywhere because they photograph well and rot slowly. Aurelia became the Empire’s favorite mirror, the place it points to when it wants to say, See? We preserved something. What it actually preserved was Atlanta wearing somebody else’s clothes.</w:t>
      </w:r>
    </w:p>
    <w:p w14:paraId="71B24BA6"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WEATHER AND LANDSCAPE</w:t>
      </w:r>
    </w:p>
    <w:p w14:paraId="600D1CCF" w14:textId="77777777" w:rsidR="00056E7E" w:rsidRPr="000047D3" w:rsidRDefault="00827DCE">
      <w:pPr>
        <w:rPr>
          <w:rFonts w:asciiTheme="minorHAnsi" w:hAnsiTheme="minorHAnsi"/>
          <w:sz w:val="24"/>
          <w:szCs w:val="28"/>
        </w:rPr>
      </w:pPr>
      <w:r w:rsidRPr="000047D3">
        <w:rPr>
          <w:rFonts w:asciiTheme="minorHAnsi" w:hAnsiTheme="minorHAnsi"/>
          <w:sz w:val="24"/>
          <w:szCs w:val="28"/>
        </w:rPr>
        <w:t>Aurem is humid. Not cute-humid. Body-humid. Summer in Aurelia sits on your back from May through October and expects you to carry it. Storms come fast, leave the streets smelling like pine and wet concrete, and make the air heavier before they let it clear. Winters are mild enough to feel like a setup. And under all that Imperial paving, the Georgia red clay is still there, bleeding through construction sites like the ground itself is trying to remind everybody what it was before they covered it.</w:t>
      </w:r>
    </w:p>
    <w:p w14:paraId="7A7F3FBF"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7EBD8BE0" w14:textId="77777777" w:rsidR="00056E7E" w:rsidRPr="000047D3" w:rsidRDefault="00827DCE">
      <w:pPr>
        <w:rPr>
          <w:rFonts w:asciiTheme="minorHAnsi" w:hAnsiTheme="minorHAnsi"/>
          <w:sz w:val="24"/>
          <w:szCs w:val="28"/>
        </w:rPr>
      </w:pPr>
      <w:r w:rsidRPr="000047D3">
        <w:rPr>
          <w:rFonts w:asciiTheme="minorHAnsi" w:hAnsiTheme="minorHAnsi"/>
          <w:sz w:val="24"/>
          <w:szCs w:val="28"/>
        </w:rPr>
        <w:t>Aurem is where Black culture went underground the deepest and survived the most stubbornly. On Covenant Way, you hear approved Imperial hymns pouring from Broadcast speakers like the Empire invented music. In the outer districts, where Celeste lives and where Eden grew up, you hear something else. Not always loud. Not always safe. But there. Food is the main preservation vessel here. The recipes that survived are the ones that looked like submission and tasted like memory. Women cook what they do not write down. They teach daughters by hand. The Empire monitors language, music, and gathering. It never thought the kitchen was dangerous enough to watch.</w:t>
      </w:r>
    </w:p>
    <w:p w14:paraId="0DD0BAD3"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1B9BE375" w14:textId="77777777" w:rsidR="00056E7E" w:rsidRPr="000047D3" w:rsidRDefault="00827DCE">
      <w:pPr>
        <w:rPr>
          <w:rFonts w:asciiTheme="minorHAnsi" w:hAnsiTheme="minorHAnsi"/>
          <w:sz w:val="24"/>
          <w:szCs w:val="28"/>
        </w:rPr>
      </w:pPr>
      <w:r w:rsidRPr="000047D3">
        <w:rPr>
          <w:rFonts w:asciiTheme="minorHAnsi" w:hAnsiTheme="minorHAnsi"/>
          <w:sz w:val="24"/>
          <w:szCs w:val="28"/>
        </w:rPr>
        <w:t>Aurem has the highest Commonwife rate and the most elaborate Imperial marriage ceremonies in the Empire because the Empire made marriage look like the highest honor a woman could receive here on purpose. The Binding is held in a Temple, witnessed by a Vowed officiant, and registered in both Crown and Temple records at the same time. The bride wears white and gold. She is given a new surname hyphenated with her husband’s. Nobody asks if she consents. They ask if she is worthy. The correct answer is yes.</w:t>
      </w:r>
    </w:p>
    <w:p w14:paraId="13CC4EC5" w14:textId="77777777" w:rsidR="00056E7E" w:rsidRPr="000047D3" w:rsidRDefault="00827DCE">
      <w:pPr>
        <w:rPr>
          <w:rFonts w:asciiTheme="minorHAnsi" w:hAnsiTheme="minorHAnsi"/>
          <w:sz w:val="24"/>
          <w:szCs w:val="28"/>
        </w:rPr>
      </w:pPr>
      <w:r w:rsidRPr="000047D3">
        <w:rPr>
          <w:rFonts w:asciiTheme="minorHAnsi" w:hAnsiTheme="minorHAnsi"/>
          <w:sz w:val="24"/>
          <w:szCs w:val="28"/>
        </w:rPr>
        <w:t>In the outer districts, older women still perform The Salt Ceremony the night before a Binding. The bride’s mother or grandmother washes her hands in salt water and tells her the truth about marriage: what to hold, what to keep hidden, what not to hand over just because somebody asks for it. The Empire does not know The Salt Ceremony exists. Celeste performed it the night before Miriam’s Binding. It did not save Miriam. It did give her something to hold.</w:t>
      </w:r>
    </w:p>
    <w:p w14:paraId="545B4251"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4C0C0966" w14:textId="77777777" w:rsidR="00056E7E" w:rsidRPr="000047D3" w:rsidRDefault="00827DCE">
      <w:pPr>
        <w:rPr>
          <w:rFonts w:asciiTheme="minorHAnsi" w:hAnsiTheme="minorHAnsi"/>
          <w:sz w:val="24"/>
          <w:szCs w:val="28"/>
        </w:rPr>
      </w:pPr>
      <w:r w:rsidRPr="000047D3">
        <w:rPr>
          <w:rFonts w:asciiTheme="minorHAnsi" w:hAnsiTheme="minorHAnsi"/>
          <w:sz w:val="24"/>
          <w:szCs w:val="28"/>
        </w:rPr>
        <w:t>At eighteen, every girl in Aurem undergoes The Designation, a formal assessment by a Vowed officer that determines her initial caste classification. Literacy, theological knowledge, and “domestic aptitude” produce a preliminary designation: Unbound track or elevated track. Elevated track means better education and possible Covenant Daughter consideration. Unbound track means the rest of your life has already been sorted before you have a say in it.</w:t>
      </w:r>
    </w:p>
    <w:p w14:paraId="6F12FECD" w14:textId="77777777" w:rsidR="00056E7E" w:rsidRPr="000047D3" w:rsidRDefault="00827DCE">
      <w:pPr>
        <w:rPr>
          <w:rFonts w:asciiTheme="minorHAnsi" w:hAnsiTheme="minorHAnsi"/>
          <w:sz w:val="24"/>
          <w:szCs w:val="28"/>
        </w:rPr>
      </w:pPr>
      <w:r w:rsidRPr="000047D3">
        <w:rPr>
          <w:rFonts w:asciiTheme="minorHAnsi" w:hAnsiTheme="minorHAnsi"/>
          <w:sz w:val="24"/>
          <w:szCs w:val="28"/>
        </w:rPr>
        <w:t>Eden scored the highest in Aurem’s Designation history. The Vowed officer who assessed her filed the flag the same day: Exceptional intellect. Monitor closely.</w:t>
      </w:r>
    </w:p>
    <w:p w14:paraId="352120A9"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52EECE0F" w14:textId="77777777" w:rsidR="00056E7E" w:rsidRPr="000047D3" w:rsidRDefault="00827DCE">
      <w:pPr>
        <w:rPr>
          <w:rFonts w:asciiTheme="minorHAnsi" w:hAnsiTheme="minorHAnsi"/>
          <w:sz w:val="24"/>
          <w:szCs w:val="28"/>
        </w:rPr>
      </w:pPr>
      <w:r w:rsidRPr="000047D3">
        <w:rPr>
          <w:rFonts w:asciiTheme="minorHAnsi" w:hAnsiTheme="minorHAnsi"/>
          <w:sz w:val="24"/>
          <w:szCs w:val="28"/>
        </w:rPr>
        <w:t>Aurem is the Empire’s favorite Broadcast Dominion. Fifteen Anointed Wives over thirty-eight Trials, the highest of any Dominion. Aurem’s Covenant Daughter gets forty-seven seconds on Sovereign Boulevard during the Opening Procession, more than anyone else. The Empire keeps that number public. Every girl in Aurem knows it before she can read. An Aurem candidate is expected to win, and the outer districts watch the scores with the kind of intensity that only comes from people who never see their names on anything and are waiting for the day that changes. What an Aurem Covenant Daughter represents — to the Empire, to the outer districts, to the girls who look like her and will never be selected — starts costing her before she ever reaches the Crownward.</w:t>
      </w:r>
    </w:p>
    <w:p w14:paraId="49A389C8"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AND BURIAL</w:t>
      </w:r>
    </w:p>
    <w:p w14:paraId="21E99001" w14:textId="77777777" w:rsidR="00056E7E" w:rsidRPr="000047D3" w:rsidRDefault="00827DCE">
      <w:pPr>
        <w:rPr>
          <w:rFonts w:asciiTheme="minorHAnsi" w:hAnsiTheme="minorHAnsi"/>
          <w:sz w:val="24"/>
          <w:szCs w:val="28"/>
        </w:rPr>
      </w:pPr>
      <w:r w:rsidRPr="000047D3">
        <w:rPr>
          <w:rFonts w:asciiTheme="minorHAnsi" w:hAnsiTheme="minorHAnsi"/>
          <w:sz w:val="24"/>
          <w:szCs w:val="28"/>
        </w:rPr>
        <w:t>This is one of the places the Empire lost completely and still has no idea. Aurem’s outer districts bury their dead the old way: returned to red Georgia earth, no Empire officiating, family-led, three days long. Day one is The Telling, where people speak stories instead of prayers. Day two is The Feeding, where the community brings food so the family does not cook. Day three is The Release, the burial itself, quiet, with red clay packed down by family hands. The official death registration gets filed because paperwork still has teeth. Then the family goes home and does it their way anyway. Celeste has buried three people this way. She intends to be buried this way herself.</w:t>
      </w:r>
    </w:p>
    <w:p w14:paraId="5A9642F9" w14:textId="77777777" w:rsidR="00E7228C" w:rsidRPr="000047D3" w:rsidRDefault="00E7228C">
      <w:pPr>
        <w:spacing w:after="200" w:line="276" w:lineRule="auto"/>
        <w:rPr>
          <w:rFonts w:asciiTheme="minorHAnsi" w:eastAsiaTheme="majorEastAsia" w:hAnsiTheme="minorHAnsi" w:cstheme="majorBidi"/>
          <w:b/>
          <w:bCs/>
          <w:color w:val="FF1C22" w:themeColor="accent1" w:themeShade="BF"/>
          <w:sz w:val="40"/>
          <w:szCs w:val="36"/>
        </w:rPr>
      </w:pPr>
      <w:r w:rsidRPr="000047D3">
        <w:rPr>
          <w:rFonts w:asciiTheme="minorHAnsi" w:hAnsiTheme="minorHAnsi"/>
          <w:sz w:val="24"/>
          <w:szCs w:val="28"/>
        </w:rPr>
        <w:br w:type="page"/>
      </w:r>
    </w:p>
    <w:p w14:paraId="05F614CF" w14:textId="00A87B7E" w:rsidR="00056E7E" w:rsidRPr="000047D3" w:rsidRDefault="00827DCE">
      <w:pPr>
        <w:pStyle w:val="Heading1"/>
        <w:rPr>
          <w:rFonts w:asciiTheme="minorHAnsi" w:hAnsiTheme="minorHAnsi"/>
          <w:sz w:val="40"/>
          <w:szCs w:val="36"/>
        </w:rPr>
      </w:pPr>
      <w:r w:rsidRPr="000047D3">
        <w:rPr>
          <w:rFonts w:asciiTheme="minorHAnsi" w:hAnsiTheme="minorHAnsi"/>
          <w:sz w:val="40"/>
          <w:szCs w:val="36"/>
        </w:rPr>
        <w:t>DOMINION II: GULF DOMINION</w:t>
      </w:r>
    </w:p>
    <w:p w14:paraId="4C88F57B"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Port Seraphine (formerly New Orleans)</w:t>
      </w:r>
    </w:p>
    <w:p w14:paraId="3D3E56EF"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Louisiana, Mississippi Gulf Coast, Florida</w:t>
      </w:r>
    </w:p>
    <w:p w14:paraId="1B99F434" w14:textId="77777777" w:rsidR="00056E7E" w:rsidRPr="000047D3" w:rsidRDefault="00056E7E">
      <w:pPr>
        <w:rPr>
          <w:rFonts w:asciiTheme="minorHAnsi" w:hAnsiTheme="minorHAnsi"/>
          <w:sz w:val="24"/>
          <w:szCs w:val="28"/>
        </w:rPr>
      </w:pPr>
    </w:p>
    <w:p w14:paraId="7C3A3F83"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61A36F83" w14:textId="77777777" w:rsidR="00056E7E" w:rsidRPr="000047D3" w:rsidRDefault="00827DCE">
      <w:pPr>
        <w:rPr>
          <w:rFonts w:asciiTheme="minorHAnsi" w:hAnsiTheme="minorHAnsi"/>
          <w:sz w:val="24"/>
          <w:szCs w:val="28"/>
        </w:rPr>
      </w:pPr>
      <w:r w:rsidRPr="000047D3">
        <w:rPr>
          <w:rFonts w:asciiTheme="minorHAnsi" w:hAnsiTheme="minorHAnsi"/>
          <w:sz w:val="24"/>
          <w:szCs w:val="28"/>
        </w:rPr>
        <w:t>New Orleans was never going to be easy to govern, and the Empire learned that the hard way. The first Governor-Prelate assigned to Gulf lasted fourteen months before begging for reassignment. His official report said the city was “resistant to spiritual reorientation in ways that defy standard administrative tools.” What he meant was: these people have been doing what they want for three hundred years, and a new name on the map does not scare them. Eventually, the Empire stopped trying to fully control Gulf and settled for managing it. Port Seraphine is the compromise — loyal enough for the Broadcast, layered enough underground that the Vowed officers have learned to look away from certain things because looking too closely would cost more than the Crown wants to spend.</w:t>
      </w:r>
    </w:p>
    <w:p w14:paraId="6C9C162E"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WEATHER AND LANDSCAPE</w:t>
      </w:r>
    </w:p>
    <w:p w14:paraId="3B0BDBDF" w14:textId="77777777" w:rsidR="00056E7E" w:rsidRPr="000047D3" w:rsidRDefault="00827DCE">
      <w:pPr>
        <w:rPr>
          <w:rFonts w:asciiTheme="minorHAnsi" w:hAnsiTheme="minorHAnsi"/>
          <w:sz w:val="24"/>
          <w:szCs w:val="28"/>
        </w:rPr>
      </w:pPr>
      <w:r w:rsidRPr="000047D3">
        <w:rPr>
          <w:rFonts w:asciiTheme="minorHAnsi" w:hAnsiTheme="minorHAnsi"/>
          <w:sz w:val="24"/>
          <w:szCs w:val="28"/>
        </w:rPr>
        <w:t>Gulf lives under a sky that cannot decide if it wants to be beautiful or apocalyptic. Hurricane season takes half the year. The city is built on water and spite, with flood infrastructure the Empire inherited and expanded because losing Port Seraphine to the Gulf of Mexico would be an economic disaster they cannot afford. Spanish moss hangs over everything. Bayous cut through neighborhoods. The river stays wide, brown, and completely unimpressed by Imperial authority.</w:t>
      </w:r>
    </w:p>
    <w:p w14:paraId="596E76BF"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7DCE70FF" w14:textId="77777777" w:rsidR="00056E7E" w:rsidRPr="000047D3" w:rsidRDefault="00827DCE">
      <w:pPr>
        <w:rPr>
          <w:rFonts w:asciiTheme="minorHAnsi" w:hAnsiTheme="minorHAnsi"/>
          <w:sz w:val="24"/>
          <w:szCs w:val="28"/>
        </w:rPr>
      </w:pPr>
      <w:r w:rsidRPr="000047D3">
        <w:rPr>
          <w:rFonts w:asciiTheme="minorHAnsi" w:hAnsiTheme="minorHAnsi"/>
          <w:sz w:val="24"/>
          <w:szCs w:val="28"/>
        </w:rPr>
        <w:t>Gulf is the most culturally intact Dominion in the Empire. Music survived here in a way it did not survive anywhere else — not exactly hidden, more like standing in plain sight and daring somebody to do something about it. The Empire tried to replace jazz, blues, and second line with approved Imperial hymns and eventually gave up because the money mattered more than the moral panic. Tourism, rebranded as “cultural pilgrimage,” brings in too much revenue. So Gulf has a cultural exception the Empire will not admit exists. Music plays in Port Seraphine that would get you flagged anywhere else. Food is art and theology. The Vowed here have learned flexibility that would make Crownward Temple leadership lose sleep.</w:t>
      </w:r>
    </w:p>
    <w:p w14:paraId="582125F3"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0AB9C54E" w14:textId="77777777" w:rsidR="00056E7E" w:rsidRPr="000047D3" w:rsidRDefault="00827DCE">
      <w:pPr>
        <w:rPr>
          <w:rFonts w:asciiTheme="minorHAnsi" w:hAnsiTheme="minorHAnsi"/>
          <w:sz w:val="24"/>
          <w:szCs w:val="28"/>
        </w:rPr>
      </w:pPr>
      <w:r w:rsidRPr="000047D3">
        <w:rPr>
          <w:rFonts w:asciiTheme="minorHAnsi" w:hAnsiTheme="minorHAnsi"/>
          <w:sz w:val="24"/>
          <w:szCs w:val="28"/>
        </w:rPr>
        <w:t>Gulf Binding ceremonies include live music, which technically violates three Imperial ordinances about approved worship sound. The local Governor-Prelate classifies it as “ceremonial expression within approved parameters,” and everybody pretends that explanation makes sense. The night before a Binding in Port Seraphine, the women of the family gather for The Last Free Night. It has no Imperial equivalent and never appears on official paperwork. They dance. They drink what they are not supposed to. They tell the bride the truth about what is coming in the one language the Empire has never learned how to police properly: joy used as survival.</w:t>
      </w:r>
    </w:p>
    <w:p w14:paraId="1F263FD0"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196AE0FC" w14:textId="77777777" w:rsidR="00056E7E" w:rsidRPr="000047D3" w:rsidRDefault="00827DCE">
      <w:pPr>
        <w:rPr>
          <w:rFonts w:asciiTheme="minorHAnsi" w:hAnsiTheme="minorHAnsi"/>
          <w:sz w:val="24"/>
          <w:szCs w:val="28"/>
        </w:rPr>
      </w:pPr>
      <w:r w:rsidRPr="000047D3">
        <w:rPr>
          <w:rFonts w:asciiTheme="minorHAnsi" w:hAnsiTheme="minorHAnsi"/>
          <w:sz w:val="24"/>
          <w:szCs w:val="28"/>
        </w:rPr>
        <w:t>At fourteen, Gulf girls participate in The Procession, a public walk through Port Seraphine’s ceremonial boulevard in white dresses. Officially, it is a declaration of Imperial loyalty and readiness for designation. In reality, and everyone knows this, it is a second line. The approved Imperial band plays approved hymns at the front. The girls walk. Then somebody in the crowd starts the counter rhythm — a drumbeat, a whistle, a harmony that was never on the program. By the end, every year, the Procession becomes something the Empire did not plan and cannot shut down without creating a Broadcast incident. The girls walk away knowing who they are in a way the Empire did not authorize.</w:t>
      </w:r>
    </w:p>
    <w:p w14:paraId="7AF71D91"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75363989" w14:textId="77777777" w:rsidR="00056E7E" w:rsidRPr="000047D3" w:rsidRDefault="00827DCE">
      <w:pPr>
        <w:rPr>
          <w:rFonts w:asciiTheme="minorHAnsi" w:hAnsiTheme="minorHAnsi"/>
          <w:sz w:val="24"/>
          <w:szCs w:val="28"/>
        </w:rPr>
      </w:pPr>
      <w:r w:rsidRPr="000047D3">
        <w:rPr>
          <w:rFonts w:asciiTheme="minorHAnsi" w:hAnsiTheme="minorHAnsi"/>
          <w:sz w:val="24"/>
          <w:szCs w:val="28"/>
        </w:rPr>
        <w:t>Gulf Covenant Daughters arrive already fluent in performance because they have been watched their whole lives and second-lining since they were fourteen. They know how to let an audience see exactly what it wants to see. The scoring system has historically penalized Gulf candidates for warmth because Crown advisors tend to read warmth as performance unless it comes from someone they already trust. Gulf women learned to weaponize restraint anyway. A Gulf candidate who understands the gap between what she shows and what she keeps is one of the most dangerous women in the room. The Empire’s tools were not built to measure what Gulf teaches.</w:t>
      </w:r>
    </w:p>
    <w:p w14:paraId="0579C092"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AND BURIAL</w:t>
      </w:r>
    </w:p>
    <w:p w14:paraId="2ADD64C7" w14:textId="77777777" w:rsidR="00056E7E" w:rsidRPr="000047D3" w:rsidRDefault="00827DCE">
      <w:pPr>
        <w:rPr>
          <w:rFonts w:asciiTheme="minorHAnsi" w:hAnsiTheme="minorHAnsi"/>
          <w:sz w:val="24"/>
          <w:szCs w:val="28"/>
        </w:rPr>
      </w:pPr>
      <w:r w:rsidRPr="000047D3">
        <w:rPr>
          <w:rFonts w:asciiTheme="minorHAnsi" w:hAnsiTheme="minorHAnsi"/>
          <w:sz w:val="24"/>
          <w:szCs w:val="28"/>
        </w:rPr>
        <w:t>The old New Orleans relationship with death never left. The dead are celebrated before they are mourned. Three days of open house, the body in the family home, everyone coming through, everyone eating, and stories getting louder and funnier as the hours pass. Burial is loud — music, always music, the second line following the body to the ground. The Empire registered this as an approved “cultural mourning practice” in 2052 because trying to stop it was not going to work. After burial, the family returns home for The Quiet: one hour of complete silence, the only silence in the whole three days. Gulf people say that is when the dead actually leave.</w:t>
      </w:r>
    </w:p>
    <w:p w14:paraId="0A6FE191" w14:textId="77777777" w:rsidR="00056E7E" w:rsidRPr="000047D3" w:rsidRDefault="00056E7E">
      <w:pPr>
        <w:rPr>
          <w:rFonts w:asciiTheme="minorHAnsi" w:hAnsiTheme="minorHAnsi"/>
          <w:sz w:val="24"/>
          <w:szCs w:val="28"/>
        </w:rPr>
      </w:pPr>
    </w:p>
    <w:p w14:paraId="012D1ECB" w14:textId="77777777" w:rsidR="00056E7E" w:rsidRPr="000047D3" w:rsidRDefault="00056E7E">
      <w:pPr>
        <w:rPr>
          <w:rFonts w:asciiTheme="minorHAnsi" w:hAnsiTheme="minorHAnsi"/>
          <w:sz w:val="24"/>
          <w:szCs w:val="28"/>
        </w:rPr>
      </w:pPr>
    </w:p>
    <w:p w14:paraId="3F466672" w14:textId="77777777" w:rsidR="00E7228C" w:rsidRPr="000047D3" w:rsidRDefault="00E7228C">
      <w:pPr>
        <w:spacing w:after="200" w:line="276" w:lineRule="auto"/>
        <w:rPr>
          <w:rFonts w:asciiTheme="minorHAnsi" w:eastAsiaTheme="majorEastAsia" w:hAnsiTheme="minorHAnsi" w:cstheme="majorBidi"/>
          <w:b/>
          <w:bCs/>
          <w:color w:val="FF1C22" w:themeColor="accent1" w:themeShade="BF"/>
          <w:sz w:val="40"/>
          <w:szCs w:val="36"/>
        </w:rPr>
      </w:pPr>
      <w:r w:rsidRPr="000047D3">
        <w:rPr>
          <w:rFonts w:asciiTheme="minorHAnsi" w:hAnsiTheme="minorHAnsi"/>
          <w:sz w:val="24"/>
          <w:szCs w:val="28"/>
        </w:rPr>
        <w:br w:type="page"/>
      </w:r>
    </w:p>
    <w:p w14:paraId="3B02FE2E" w14:textId="51943F1F" w:rsidR="00056E7E" w:rsidRPr="000047D3" w:rsidRDefault="00827DCE">
      <w:pPr>
        <w:pStyle w:val="Heading1"/>
        <w:rPr>
          <w:rFonts w:asciiTheme="minorHAnsi" w:hAnsiTheme="minorHAnsi"/>
          <w:sz w:val="40"/>
          <w:szCs w:val="36"/>
        </w:rPr>
      </w:pPr>
      <w:r w:rsidRPr="000047D3">
        <w:rPr>
          <w:rFonts w:asciiTheme="minorHAnsi" w:hAnsiTheme="minorHAnsi"/>
          <w:sz w:val="40"/>
          <w:szCs w:val="36"/>
        </w:rPr>
        <w:t>DOMINION III: DOMINION OF ARDENNE</w:t>
      </w:r>
    </w:p>
    <w:p w14:paraId="7CDDF989"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Ashford (formerly Charleston, WV)</w:t>
      </w:r>
    </w:p>
    <w:p w14:paraId="6ABAE55E"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West Virginia, Virginia, Kentucky — Appalachian regions</w:t>
      </w:r>
    </w:p>
    <w:p w14:paraId="198BB5D2"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1FCB0498" w14:textId="77777777" w:rsidR="00056E7E" w:rsidRPr="000047D3" w:rsidRDefault="00827DCE">
      <w:pPr>
        <w:rPr>
          <w:rFonts w:asciiTheme="minorHAnsi" w:hAnsiTheme="minorHAnsi"/>
          <w:sz w:val="24"/>
          <w:szCs w:val="28"/>
        </w:rPr>
      </w:pPr>
      <w:r w:rsidRPr="000047D3">
        <w:rPr>
          <w:rFonts w:asciiTheme="minorHAnsi" w:hAnsiTheme="minorHAnsi"/>
          <w:sz w:val="24"/>
          <w:szCs w:val="28"/>
        </w:rPr>
        <w:t>Appalachia was never fully inside America’s idea of itself, so of course it is not fully inside the Empire’s either. The mountains made surveillance difficult. The poverty made the Coalition’s promises complicated. People who had been abandoned by every administration for a century had layered feelings about a movement promising restoration. Some embraced it. Some took the aid and kept their own counsel. Some walked into the trees and did not come back. Ashford is the city the Empire maintains as proof that Ardenne is pacified. Everything past the tree line says otherwise.</w:t>
      </w:r>
    </w:p>
    <w:p w14:paraId="12A8B000" w14:textId="29DEC2F3"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w:t>
      </w:r>
      <w:r w:rsidR="00E7228C" w:rsidRPr="000047D3">
        <w:rPr>
          <w:rFonts w:asciiTheme="minorHAnsi" w:hAnsiTheme="minorHAnsi"/>
          <w:sz w:val="32"/>
          <w:szCs w:val="32"/>
        </w:rPr>
        <w:t>R</w:t>
      </w:r>
      <w:r w:rsidRPr="000047D3">
        <w:rPr>
          <w:rFonts w:asciiTheme="minorHAnsi" w:hAnsiTheme="minorHAnsi"/>
          <w:sz w:val="32"/>
          <w:szCs w:val="32"/>
        </w:rPr>
        <w:t xml:space="preserve"> AND LANDSCAPE</w:t>
      </w:r>
    </w:p>
    <w:p w14:paraId="6C749BE8" w14:textId="77777777" w:rsidR="00056E7E" w:rsidRPr="000047D3" w:rsidRDefault="00827DCE">
      <w:pPr>
        <w:rPr>
          <w:rFonts w:asciiTheme="minorHAnsi" w:hAnsiTheme="minorHAnsi"/>
          <w:sz w:val="24"/>
          <w:szCs w:val="28"/>
        </w:rPr>
      </w:pPr>
      <w:r w:rsidRPr="000047D3">
        <w:rPr>
          <w:rFonts w:asciiTheme="minorHAnsi" w:hAnsiTheme="minorHAnsi"/>
          <w:sz w:val="24"/>
          <w:szCs w:val="28"/>
        </w:rPr>
        <w:t>Ardenne has cold the Southern Dominions do not know what to do with. Real winters. Real snow. Months where the mountains make certain places unreachable and do not apologize for it. Hollows separate communities from each other and from Ashford in ways no surveillance system has fully solved. Morning fog can sit so thick you cannot see the next house. Hardwood forests have outlived every government that tried to claim them.</w:t>
      </w:r>
    </w:p>
    <w:p w14:paraId="725832C7"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3CA0F860" w14:textId="77777777" w:rsidR="00056E7E" w:rsidRPr="000047D3" w:rsidRDefault="00827DCE">
      <w:pPr>
        <w:rPr>
          <w:rFonts w:asciiTheme="minorHAnsi" w:hAnsiTheme="minorHAnsi"/>
          <w:sz w:val="24"/>
          <w:szCs w:val="28"/>
        </w:rPr>
      </w:pPr>
      <w:r w:rsidRPr="000047D3">
        <w:rPr>
          <w:rFonts w:asciiTheme="minorHAnsi" w:hAnsiTheme="minorHAnsi"/>
          <w:sz w:val="24"/>
          <w:szCs w:val="28"/>
        </w:rPr>
        <w:t>Ardenne is split in a way everybody understands and nobody says too loudly. Ashford culture is fully Imperial, loud with devotion because watched people learn to perform loyalty where it can be seen. Outside Ashford, the culture is something the Empire has never successfully named. Self-sufficient. Person-to-person. Built on knowledge that does not pass through Imperial education systems. The Ungoverned have their deepest roots in Ardenne’s hollows — communities of women who chose exile over designation and have now lived outside the caste system for two and three generations. The Empire calls them criminals. The mountain people who know they exist call them something closer to saints.</w:t>
      </w:r>
    </w:p>
    <w:p w14:paraId="7744CF99"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25DD26EE" w14:textId="61E9A1DE" w:rsidR="00056E7E" w:rsidRPr="000047D3" w:rsidRDefault="00827DCE">
      <w:pPr>
        <w:rPr>
          <w:rFonts w:asciiTheme="minorHAnsi" w:hAnsiTheme="minorHAnsi"/>
          <w:sz w:val="24"/>
          <w:szCs w:val="28"/>
        </w:rPr>
      </w:pPr>
      <w:r w:rsidRPr="000047D3">
        <w:rPr>
          <w:rFonts w:asciiTheme="minorHAnsi" w:hAnsiTheme="minorHAnsi"/>
          <w:sz w:val="24"/>
          <w:szCs w:val="28"/>
        </w:rPr>
        <w:t>In Ashford, marriage is a standard Imperial Binding: correct, documented, and clean enough for the record. Outside Ashford, marriage is a community declaration. Two people stand before the people who know them and say what they mean to each other. Someone trusted speaks words over them. They jump a broom, a practice so old the hollows do not know where it began, only that it has always been there. Empire marriage records for outer Ardenne are notoriously incomplete. The Governor-Prelate has mostly stopped trying to fix that because it would mean sending Crown officers into the mountains, and that has never gone well.</w:t>
      </w:r>
    </w:p>
    <w:p w14:paraId="072F7A99"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437F020B" w14:textId="77777777" w:rsidR="00056E7E" w:rsidRPr="000047D3" w:rsidRDefault="00827DCE">
      <w:pPr>
        <w:rPr>
          <w:rFonts w:asciiTheme="minorHAnsi" w:hAnsiTheme="minorHAnsi"/>
          <w:sz w:val="24"/>
          <w:szCs w:val="28"/>
        </w:rPr>
      </w:pPr>
      <w:r w:rsidRPr="000047D3">
        <w:rPr>
          <w:rFonts w:asciiTheme="minorHAnsi" w:hAnsiTheme="minorHAnsi"/>
          <w:sz w:val="24"/>
          <w:szCs w:val="28"/>
        </w:rPr>
        <w:t>Outside Ashford, no formal Imperial coming-of-age ceremony has taken root. In the hollows, adulthood is marked by The First Winter Work. Around thirteen or fourteen, a child is given a real responsibility in the community’s survival infrastructure. Not symbolic. Real. This is the skill you carry. This is what you contribute. The community witnesses it, and that is the ceremony. In Ashford, Designation proceeds normally. But outer Ardenne children, when they can be brought in for assessment, produce consistently extraordinary scores. Children raised to solve real problems tend to do well on tests designed to measure problem-solving. The Empire still does not know what to do with that information.</w:t>
      </w:r>
    </w:p>
    <w:p w14:paraId="582730C8"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72875B85" w14:textId="77777777" w:rsidR="00056E7E" w:rsidRPr="000047D3" w:rsidRDefault="00827DCE">
      <w:pPr>
        <w:rPr>
          <w:rFonts w:asciiTheme="minorHAnsi" w:hAnsiTheme="minorHAnsi"/>
          <w:sz w:val="24"/>
          <w:szCs w:val="28"/>
        </w:rPr>
      </w:pPr>
      <w:r w:rsidRPr="000047D3">
        <w:rPr>
          <w:rFonts w:asciiTheme="minorHAnsi" w:hAnsiTheme="minorHAnsi"/>
          <w:sz w:val="24"/>
          <w:szCs w:val="28"/>
        </w:rPr>
        <w:t>Ardenne rarely produces Covenant Daughters. The Dominion’s fractured relationship with Imperial loyalty shows in the numbers. Ashford girls score well. Outer Ardenne girls often do not participate at all. When an Ardenne Covenant Daughter reaches the Crownward, she is usually from the city, usually more Imperial than the mountain communities that make up most of her Dominion, and usually quiet about the gap. Crown advisors score her compliance well. The hollows would not recognize that performance as their own.</w:t>
      </w:r>
    </w:p>
    <w:p w14:paraId="15BEAD13"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AND BURIAL</w:t>
      </w:r>
    </w:p>
    <w:p w14:paraId="4F0263CE" w14:textId="77777777" w:rsidR="00056E7E" w:rsidRPr="000047D3" w:rsidRDefault="00827DCE">
      <w:pPr>
        <w:rPr>
          <w:rFonts w:asciiTheme="minorHAnsi" w:hAnsiTheme="minorHAnsi"/>
          <w:sz w:val="24"/>
          <w:szCs w:val="28"/>
        </w:rPr>
      </w:pPr>
      <w:r w:rsidRPr="000047D3">
        <w:rPr>
          <w:rFonts w:asciiTheme="minorHAnsi" w:hAnsiTheme="minorHAnsi"/>
          <w:sz w:val="24"/>
          <w:szCs w:val="28"/>
        </w:rPr>
        <w:t>Ardenne dead go back to the mountain. Simple burial. Family-dug graves on family land. Stones instead of Imperial plaques. A meal afterward. Stories until everybody has said what they needed to say. In some hollows, families still practice The Sitting — loved ones physically sit with the body through the night before burial. Not exactly mourning. Witnessing. Making sure the person who died does not leave alone.</w:t>
      </w:r>
    </w:p>
    <w:p w14:paraId="29BBAEA1" w14:textId="77777777" w:rsidR="00056E7E" w:rsidRPr="000047D3" w:rsidRDefault="00056E7E">
      <w:pPr>
        <w:rPr>
          <w:rFonts w:asciiTheme="minorHAnsi" w:hAnsiTheme="minorHAnsi"/>
          <w:sz w:val="24"/>
          <w:szCs w:val="28"/>
        </w:rPr>
      </w:pPr>
    </w:p>
    <w:p w14:paraId="20271355" w14:textId="77777777" w:rsidR="00056E7E" w:rsidRPr="000047D3" w:rsidRDefault="00056E7E">
      <w:pPr>
        <w:rPr>
          <w:rFonts w:asciiTheme="minorHAnsi" w:hAnsiTheme="minorHAnsi"/>
          <w:sz w:val="24"/>
          <w:szCs w:val="28"/>
        </w:rPr>
      </w:pPr>
    </w:p>
    <w:p w14:paraId="7B896D13" w14:textId="77777777" w:rsidR="00E7228C" w:rsidRPr="000047D3" w:rsidRDefault="00E7228C">
      <w:pPr>
        <w:spacing w:after="200" w:line="276" w:lineRule="auto"/>
        <w:rPr>
          <w:rFonts w:asciiTheme="minorHAnsi" w:eastAsiaTheme="majorEastAsia" w:hAnsiTheme="minorHAnsi" w:cstheme="majorBidi"/>
          <w:b/>
          <w:bCs/>
          <w:color w:val="FF1C22" w:themeColor="accent1" w:themeShade="BF"/>
          <w:sz w:val="40"/>
          <w:szCs w:val="36"/>
        </w:rPr>
      </w:pPr>
      <w:r w:rsidRPr="000047D3">
        <w:rPr>
          <w:rFonts w:asciiTheme="minorHAnsi" w:hAnsiTheme="minorHAnsi"/>
          <w:sz w:val="24"/>
          <w:szCs w:val="28"/>
        </w:rPr>
        <w:br w:type="page"/>
      </w:r>
    </w:p>
    <w:p w14:paraId="161D6A3D" w14:textId="1B9D45BF" w:rsidR="00056E7E" w:rsidRPr="000047D3" w:rsidRDefault="00827DCE">
      <w:pPr>
        <w:pStyle w:val="Heading1"/>
        <w:rPr>
          <w:rFonts w:asciiTheme="minorHAnsi" w:hAnsiTheme="minorHAnsi"/>
          <w:sz w:val="40"/>
          <w:szCs w:val="36"/>
        </w:rPr>
      </w:pPr>
      <w:r w:rsidRPr="000047D3">
        <w:rPr>
          <w:rFonts w:asciiTheme="minorHAnsi" w:hAnsiTheme="minorHAnsi"/>
          <w:sz w:val="40"/>
          <w:szCs w:val="36"/>
        </w:rPr>
        <w:t>DOMINION IV: DOMINION OF MERIDIAN</w:t>
      </w:r>
    </w:p>
    <w:p w14:paraId="01816F25"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Blessed Shore (formerly Philadelphia)</w:t>
      </w:r>
    </w:p>
    <w:p w14:paraId="5D918EC5"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Pennsylvania, Maryland, New Jersey, Delaware</w:t>
      </w:r>
    </w:p>
    <w:p w14:paraId="341EFB7A" w14:textId="77777777" w:rsidR="00056E7E" w:rsidRPr="000047D3" w:rsidRDefault="00056E7E">
      <w:pPr>
        <w:rPr>
          <w:rFonts w:asciiTheme="minorHAnsi" w:hAnsiTheme="minorHAnsi"/>
          <w:sz w:val="24"/>
          <w:szCs w:val="28"/>
        </w:rPr>
      </w:pPr>
    </w:p>
    <w:p w14:paraId="23A24972"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23E850E4" w14:textId="77777777" w:rsidR="00056E7E" w:rsidRPr="000047D3" w:rsidRDefault="00827DCE">
      <w:pPr>
        <w:rPr>
          <w:rFonts w:asciiTheme="minorHAnsi" w:hAnsiTheme="minorHAnsi"/>
          <w:sz w:val="24"/>
          <w:szCs w:val="28"/>
        </w:rPr>
      </w:pPr>
      <w:r w:rsidRPr="000047D3">
        <w:rPr>
          <w:rFonts w:asciiTheme="minorHAnsi" w:hAnsiTheme="minorHAnsi"/>
          <w:sz w:val="24"/>
          <w:szCs w:val="28"/>
        </w:rPr>
        <w:t>Philadelphia already carried complicated American mythology — independence declared, Constitution written, promise made and broken in the same breath. The Empire understood the symbolic value of taking that city. Blessed Shore is where the Covenant Court keeps its secondary chambers, where Imperial law gets interpreted, refined, and weaponized. The Empire did not need to destroy Philadelphia’s identity. It redirected it. The city that once held the Declaration of Independence now holds the legal architecture of everything the Declaration claimed to prevent. The people who live there understand the irony. They also understand it is not safe to say so.</w:t>
      </w:r>
    </w:p>
    <w:p w14:paraId="54D79484"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WEATHER AND LANDSCAPE</w:t>
      </w:r>
    </w:p>
    <w:p w14:paraId="6D696929" w14:textId="77777777" w:rsidR="00056E7E" w:rsidRPr="000047D3" w:rsidRDefault="00827DCE">
      <w:pPr>
        <w:rPr>
          <w:rFonts w:asciiTheme="minorHAnsi" w:hAnsiTheme="minorHAnsi"/>
          <w:sz w:val="24"/>
          <w:szCs w:val="28"/>
        </w:rPr>
      </w:pPr>
      <w:r w:rsidRPr="000047D3">
        <w:rPr>
          <w:rFonts w:asciiTheme="minorHAnsi" w:hAnsiTheme="minorHAnsi"/>
          <w:sz w:val="24"/>
          <w:szCs w:val="28"/>
        </w:rPr>
        <w:t>Meridian has four real seasons. Summers are hot and heavy. Fall is almost too pretty, with October color making the city look like it is burning beautifully. Winters have teeth. The Delaware River cuts through wide and cold and does nothing to make the city feel warmer. Blessed Shore has more green space than most Imperial seat cities because the old park infrastructure was too expensive to repurpose. The Empire rebranded it as “sanctified commons,” which means people picnic there on Sundays and try not to think too hard about the word sanctified.</w:t>
      </w:r>
    </w:p>
    <w:p w14:paraId="5991F56A"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4F80C9A2" w14:textId="77777777" w:rsidR="00056E7E" w:rsidRPr="000047D3" w:rsidRDefault="00827DCE">
      <w:pPr>
        <w:rPr>
          <w:rFonts w:asciiTheme="minorHAnsi" w:hAnsiTheme="minorHAnsi"/>
          <w:sz w:val="24"/>
          <w:szCs w:val="28"/>
        </w:rPr>
      </w:pPr>
      <w:r w:rsidRPr="000047D3">
        <w:rPr>
          <w:rFonts w:asciiTheme="minorHAnsi" w:hAnsiTheme="minorHAnsi"/>
          <w:sz w:val="24"/>
          <w:szCs w:val="28"/>
        </w:rPr>
        <w:t>Meridian absorbed Imperial culture more completely than almost any other Dominion because Blessed Shore is run by people who believe in systems. The administrative class trusts process. The Empire handed them a process, and they followed it. The underground here is quieter than Gulf or Ardenne, not because nobody is thinking dangerous thoughts, but because the dangerous thinkers are lawyers and bureaucrats who understand the cost of paper. Resistance in Meridian looks like precise legal challenges filed through proper channels, going nowhere, and being documented carefully for the future someone is preparing for.</w:t>
      </w:r>
    </w:p>
    <w:p w14:paraId="7536C2D2"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50DCD797" w14:textId="77777777" w:rsidR="00056E7E" w:rsidRPr="000047D3" w:rsidRDefault="00827DCE">
      <w:pPr>
        <w:rPr>
          <w:rFonts w:asciiTheme="minorHAnsi" w:hAnsiTheme="minorHAnsi"/>
          <w:sz w:val="24"/>
          <w:szCs w:val="28"/>
        </w:rPr>
      </w:pPr>
      <w:r w:rsidRPr="000047D3">
        <w:rPr>
          <w:rFonts w:asciiTheme="minorHAnsi" w:hAnsiTheme="minorHAnsi"/>
          <w:sz w:val="24"/>
          <w:szCs w:val="28"/>
        </w:rPr>
        <w:t>Meridian Bindings are the most legally elaborate in the Empire. Property documentation, designation transfer records, Crown registration that can take up to three weeks — the contract matters more than the ceremony. Stewardwives in Blessed Shore have quietly become expert readers of those contracts over generations. They know which clauses give leverage and which clauses only pretend to. They pass this knowledge through Reading Circles, which are officially Temple-approved Bible studies and actually a legal literacy network that has been running since 2069.</w:t>
      </w:r>
    </w:p>
    <w:p w14:paraId="2F99790F"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2DC5EF45" w14:textId="77777777" w:rsidR="00056E7E" w:rsidRPr="000047D3" w:rsidRDefault="00827DCE">
      <w:pPr>
        <w:rPr>
          <w:rFonts w:asciiTheme="minorHAnsi" w:hAnsiTheme="minorHAnsi"/>
          <w:sz w:val="24"/>
          <w:szCs w:val="28"/>
        </w:rPr>
      </w:pPr>
      <w:r w:rsidRPr="000047D3">
        <w:rPr>
          <w:rFonts w:asciiTheme="minorHAnsi" w:hAnsiTheme="minorHAnsi"/>
          <w:sz w:val="24"/>
          <w:szCs w:val="28"/>
        </w:rPr>
        <w:t>Meridian’s Designation is the most rigorous in the Empire because the administrative class wants precision even when sorting daughters. Girls are assessed in three-day sessions covering theological knowledge, written reasoning, policy comprehension, and “relational compliance,” which is a polite way of saying how well a girl performs deference under pressure. Scores determine everything. Meridian sends extremely prepared Covenant Daughters because preparing daughters for high-stakes assessment is simply what Meridian families do.</w:t>
      </w:r>
    </w:p>
    <w:p w14:paraId="1D78F419" w14:textId="77777777" w:rsidR="00056E7E" w:rsidRPr="000047D3" w:rsidRDefault="00056E7E">
      <w:pPr>
        <w:rPr>
          <w:rFonts w:asciiTheme="minorHAnsi" w:hAnsiTheme="minorHAnsi"/>
          <w:sz w:val="24"/>
          <w:szCs w:val="28"/>
        </w:rPr>
      </w:pPr>
    </w:p>
    <w:p w14:paraId="4439283E"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5FC99F19" w14:textId="77777777" w:rsidR="00056E7E" w:rsidRPr="000047D3" w:rsidRDefault="00827DCE">
      <w:pPr>
        <w:rPr>
          <w:rFonts w:asciiTheme="minorHAnsi" w:hAnsiTheme="minorHAnsi"/>
          <w:sz w:val="24"/>
          <w:szCs w:val="28"/>
        </w:rPr>
      </w:pPr>
      <w:r w:rsidRPr="000047D3">
        <w:rPr>
          <w:rFonts w:asciiTheme="minorHAnsi" w:hAnsiTheme="minorHAnsi"/>
          <w:sz w:val="24"/>
          <w:szCs w:val="28"/>
        </w:rPr>
        <w:t>Meridian candidates arrive with the legal precision of women raised on contracts. They score well in theology and governance because Blessed Shore education in both subjects is unmatched outside Heartland. They are trained in restraint as a tool and compliance as strategy. The Empire watches Meridian women carefully not because they resist, but because they understand exactly what they are complying with. A Meridian Covenant Daughter who decides to move is almost impossible to stop because she has read every rule and knows where the gaps are.</w:t>
      </w:r>
    </w:p>
    <w:p w14:paraId="1B215440"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AND BURIAL</w:t>
      </w:r>
    </w:p>
    <w:p w14:paraId="68A9CD86" w14:textId="77777777" w:rsidR="00056E7E" w:rsidRPr="000047D3" w:rsidRDefault="00827DCE">
      <w:pPr>
        <w:rPr>
          <w:rFonts w:asciiTheme="minorHAnsi" w:hAnsiTheme="minorHAnsi"/>
          <w:sz w:val="24"/>
          <w:szCs w:val="28"/>
        </w:rPr>
      </w:pPr>
      <w:r w:rsidRPr="000047D3">
        <w:rPr>
          <w:rFonts w:asciiTheme="minorHAnsi" w:hAnsiTheme="minorHAnsi"/>
          <w:sz w:val="24"/>
          <w:szCs w:val="28"/>
        </w:rPr>
        <w:t>Meridian buries its dead with legal efficiency and private grief. Death registration within twenty-four hours. Ceremony within three days. The older Philadelphia traditions survive mostly in food: specific dishes from specific communities that mean specific things nobody ever thought to regulate. Women show up at grieving houses with food, and the food says everything surveillance makes unsafe to say out loud.</w:t>
      </w:r>
    </w:p>
    <w:p w14:paraId="553E894F" w14:textId="77777777" w:rsidR="00056E7E" w:rsidRPr="000047D3" w:rsidRDefault="00056E7E">
      <w:pPr>
        <w:rPr>
          <w:rFonts w:asciiTheme="minorHAnsi" w:hAnsiTheme="minorHAnsi"/>
          <w:sz w:val="24"/>
          <w:szCs w:val="28"/>
        </w:rPr>
      </w:pPr>
    </w:p>
    <w:p w14:paraId="5B2690A9" w14:textId="77777777" w:rsidR="00056E7E" w:rsidRPr="000047D3" w:rsidRDefault="00056E7E">
      <w:pPr>
        <w:rPr>
          <w:rFonts w:asciiTheme="minorHAnsi" w:hAnsiTheme="minorHAnsi"/>
          <w:sz w:val="24"/>
          <w:szCs w:val="28"/>
        </w:rPr>
      </w:pPr>
    </w:p>
    <w:p w14:paraId="1225FF06" w14:textId="77777777" w:rsidR="00E7228C" w:rsidRPr="000047D3" w:rsidRDefault="00E7228C">
      <w:pPr>
        <w:spacing w:after="200" w:line="276" w:lineRule="auto"/>
        <w:rPr>
          <w:rFonts w:asciiTheme="minorHAnsi" w:eastAsiaTheme="majorEastAsia" w:hAnsiTheme="minorHAnsi" w:cstheme="majorBidi"/>
          <w:b/>
          <w:bCs/>
          <w:color w:val="FF1C22" w:themeColor="accent1" w:themeShade="BF"/>
          <w:sz w:val="40"/>
          <w:szCs w:val="36"/>
        </w:rPr>
      </w:pPr>
      <w:r w:rsidRPr="000047D3">
        <w:rPr>
          <w:rFonts w:asciiTheme="minorHAnsi" w:hAnsiTheme="minorHAnsi"/>
          <w:sz w:val="24"/>
          <w:szCs w:val="28"/>
        </w:rPr>
        <w:br w:type="page"/>
      </w:r>
    </w:p>
    <w:p w14:paraId="718891FC" w14:textId="622A770C" w:rsidR="00056E7E" w:rsidRPr="000047D3" w:rsidRDefault="00827DCE">
      <w:pPr>
        <w:pStyle w:val="Heading1"/>
        <w:rPr>
          <w:rFonts w:asciiTheme="minorHAnsi" w:hAnsiTheme="minorHAnsi"/>
          <w:sz w:val="40"/>
          <w:szCs w:val="36"/>
        </w:rPr>
      </w:pPr>
      <w:r w:rsidRPr="000047D3">
        <w:rPr>
          <w:rFonts w:asciiTheme="minorHAnsi" w:hAnsiTheme="minorHAnsi"/>
          <w:sz w:val="40"/>
          <w:szCs w:val="36"/>
        </w:rPr>
        <w:t>DOMINION V: DOMINION OF VANE</w:t>
      </w:r>
    </w:p>
    <w:p w14:paraId="1F5574A6"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Saint Meridian (formerly New York City)</w:t>
      </w:r>
    </w:p>
    <w:p w14:paraId="2C68C0C6"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New York, Massachusetts, Connecticut, Rhode Island, Vermont, New Hampshire, Maine</w:t>
      </w:r>
    </w:p>
    <w:p w14:paraId="3AF523C9"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696AAAD6" w14:textId="77777777" w:rsidR="00056E7E" w:rsidRPr="000047D3" w:rsidRDefault="00827DCE">
      <w:pPr>
        <w:rPr>
          <w:rFonts w:asciiTheme="minorHAnsi" w:hAnsiTheme="minorHAnsi"/>
          <w:sz w:val="24"/>
          <w:szCs w:val="28"/>
        </w:rPr>
      </w:pPr>
      <w:r w:rsidRPr="000047D3">
        <w:rPr>
          <w:rFonts w:asciiTheme="minorHAnsi" w:hAnsiTheme="minorHAnsi"/>
          <w:sz w:val="24"/>
          <w:szCs w:val="28"/>
        </w:rPr>
        <w:t>New York was the hardest cultural conquest the Empire attempted and the one it loves bragging about the most. A global symbol of pluralism, finance, and cultural chaos — the Empire took it and named the whole Dominion after its founding Emperor, which was both honor and leash. Saint Meridian is now the Broadcast capital of the Empire. The studios where Covenant Trial scores are announced sit in what used to be Midtown Manhattan. The skyline stayed because the Empire knows useful propaganda when it sees it: look what we maintained, look what we preserved. What changed was everything underneath the skyline. Neighborhoods. Movement. Sound.</w:t>
      </w:r>
    </w:p>
    <w:p w14:paraId="032455F0"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WEATHER AND LANDSCAPE</w:t>
      </w:r>
    </w:p>
    <w:p w14:paraId="24018D50" w14:textId="77777777" w:rsidR="00056E7E" w:rsidRPr="000047D3" w:rsidRDefault="00827DCE">
      <w:pPr>
        <w:rPr>
          <w:rFonts w:asciiTheme="minorHAnsi" w:hAnsiTheme="minorHAnsi"/>
          <w:sz w:val="24"/>
          <w:szCs w:val="28"/>
        </w:rPr>
      </w:pPr>
      <w:r w:rsidRPr="000047D3">
        <w:rPr>
          <w:rFonts w:asciiTheme="minorHAnsi" w:hAnsiTheme="minorHAnsi"/>
          <w:sz w:val="24"/>
          <w:szCs w:val="28"/>
        </w:rPr>
        <w:t>New York weather never learned how to be polite, and Saint Meridian’s does not either. Winter comes mean and stays too long. Summer arrives suddenly and violently. The Hudson still runs wide and grey on the west side. The city’s density makes surveillance both extremely visible and strangely porous. Cameras on every corner. Broadcast screens on every block. But twelve million people in a city built on top of itself will always create gaps.</w:t>
      </w:r>
    </w:p>
    <w:p w14:paraId="3F0AE7F3"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207122AE" w14:textId="77777777" w:rsidR="00056E7E" w:rsidRPr="000047D3" w:rsidRDefault="00827DCE">
      <w:pPr>
        <w:rPr>
          <w:rFonts w:asciiTheme="minorHAnsi" w:hAnsiTheme="minorHAnsi"/>
          <w:sz w:val="24"/>
          <w:szCs w:val="28"/>
        </w:rPr>
      </w:pPr>
      <w:r w:rsidRPr="000047D3">
        <w:rPr>
          <w:rFonts w:asciiTheme="minorHAnsi" w:hAnsiTheme="minorHAnsi"/>
          <w:sz w:val="24"/>
          <w:szCs w:val="28"/>
        </w:rPr>
        <w:t>The Empire tried hardest here and still did not win the way it wanted to. Not because resistance stayed organized — early crackdowns were too severe for that — but because culture in Saint Meridian had always lived everywhere at once: apartments, basements, subway cars, restaurants, back rooms. Too distributed to fully contain. What survived became invisible. Private art. Quiet music. Food from places the Empire pretends no longer exist. Saint Meridian has the largest Ungoverned-sympathizer population of any seat city. They are not Ungoverned themselves; they are too embedded in Imperial infrastructure. But they know where the edges of the system are, and they leave gaps in them on purpose.</w:t>
      </w:r>
    </w:p>
    <w:p w14:paraId="1A350795"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7F709586" w14:textId="77777777" w:rsidR="00056E7E" w:rsidRPr="000047D3" w:rsidRDefault="00827DCE">
      <w:pPr>
        <w:rPr>
          <w:rFonts w:asciiTheme="minorHAnsi" w:hAnsiTheme="minorHAnsi"/>
          <w:sz w:val="24"/>
          <w:szCs w:val="28"/>
        </w:rPr>
      </w:pPr>
      <w:r w:rsidRPr="000047D3">
        <w:rPr>
          <w:rFonts w:asciiTheme="minorHAnsi" w:hAnsiTheme="minorHAnsi"/>
          <w:sz w:val="24"/>
          <w:szCs w:val="28"/>
        </w:rPr>
        <w:t>Stewardwife-and-above Bindings in Saint Meridian are full Broadcast pageantry, sometimes used as official content and held in grand Temple spaces that used to be concert halls or museums. Commonwife ceremonies are efficient and unfilmed. The gap between the two versions of the same ritual is so wide most Commonwives only see Anointed Bindings on Broadcast screens. Underground, especially in the outer boroughs, some couples conduct Ghost Marriages: informal unions outside Imperial registration. No Crown paperwork. No Temple officiant. The Empire does not know you exist. That is the point.</w:t>
      </w:r>
    </w:p>
    <w:p w14:paraId="36D33962"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604D4868" w14:textId="77777777" w:rsidR="00056E7E" w:rsidRPr="000047D3" w:rsidRDefault="00827DCE">
      <w:pPr>
        <w:rPr>
          <w:rFonts w:asciiTheme="minorHAnsi" w:hAnsiTheme="minorHAnsi"/>
          <w:sz w:val="24"/>
          <w:szCs w:val="28"/>
        </w:rPr>
      </w:pPr>
      <w:r w:rsidRPr="000047D3">
        <w:rPr>
          <w:rFonts w:asciiTheme="minorHAnsi" w:hAnsiTheme="minorHAnsi"/>
          <w:sz w:val="24"/>
          <w:szCs w:val="28"/>
        </w:rPr>
        <w:t>At sixteen, Saint Meridian girls undergo The Broadcast Assessment, a Designation that is partially filmed and released as content. The Empire uses it as propaganda: look at the next generation, look at their devotion, look at their promise. Girls who score exceptionally become minor public figures overnight. Their faces appear on Broadcast screens across the Empire. It is presented as honor. It is also the start of total surveillance. The girls just below exceptional — smart enough to know what is happening and careful enough to hide that they know — often become the most dangerous women in the room ten years later.</w:t>
      </w:r>
    </w:p>
    <w:p w14:paraId="0F78040F"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0A4066C7" w14:textId="77777777" w:rsidR="00056E7E" w:rsidRPr="000047D3" w:rsidRDefault="00827DCE">
      <w:pPr>
        <w:rPr>
          <w:rFonts w:asciiTheme="minorHAnsi" w:hAnsiTheme="minorHAnsi"/>
          <w:sz w:val="24"/>
          <w:szCs w:val="28"/>
        </w:rPr>
      </w:pPr>
      <w:r w:rsidRPr="000047D3">
        <w:rPr>
          <w:rFonts w:asciiTheme="minorHAnsi" w:hAnsiTheme="minorHAnsi"/>
          <w:sz w:val="24"/>
          <w:szCs w:val="28"/>
        </w:rPr>
        <w:t>Vane is the legacy Dominion. Its concentration of Anointed Wives is the highest outside Aurem, and some families have sent Covenant Daughters to three consecutive Trials. The expectation is built into the Designation process. High-scoring girls are prepared for candidacy from the time they begin to read. A Vane Covenant Daughter enters the Crownward knowing her history, her score, and exactly what is expected of her. That knowledge helps until it becomes a script the judges can predict. The ones who win understand the difference between inheriting expectation and exceeding it.</w:t>
      </w:r>
    </w:p>
    <w:p w14:paraId="7DA8822C"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AND BURIAL</w:t>
      </w:r>
    </w:p>
    <w:p w14:paraId="4496C5D3" w14:textId="77777777" w:rsidR="00056E7E" w:rsidRPr="000047D3" w:rsidRDefault="00827DCE">
      <w:pPr>
        <w:rPr>
          <w:rFonts w:asciiTheme="minorHAnsi" w:hAnsiTheme="minorHAnsi"/>
          <w:sz w:val="24"/>
          <w:szCs w:val="28"/>
        </w:rPr>
      </w:pPr>
      <w:r w:rsidRPr="000047D3">
        <w:rPr>
          <w:rFonts w:asciiTheme="minorHAnsi" w:hAnsiTheme="minorHAnsi"/>
          <w:sz w:val="24"/>
          <w:szCs w:val="28"/>
        </w:rPr>
        <w:t>Saint Meridian’s grief is private in a way that pushes against the city’s public loudness. The dead are buried officially and efficiently, then mourned behind closed apartment windows. The city’s cultural diversity survives in language, food, and private rituals entirely out of Imperial view. In the old outer boroughs, some families still practice mourning traditions from places the Empire erased from official maps. Quietly. Completely.</w:t>
      </w:r>
    </w:p>
    <w:p w14:paraId="2F1A144E" w14:textId="77777777" w:rsidR="00E7228C" w:rsidRPr="000047D3" w:rsidRDefault="00E7228C">
      <w:pPr>
        <w:spacing w:after="200" w:line="276" w:lineRule="auto"/>
        <w:rPr>
          <w:rFonts w:asciiTheme="minorHAnsi" w:eastAsiaTheme="majorEastAsia" w:hAnsiTheme="minorHAnsi" w:cstheme="majorBidi"/>
          <w:b/>
          <w:bCs/>
          <w:color w:val="FF1C22" w:themeColor="accent1" w:themeShade="BF"/>
          <w:sz w:val="40"/>
          <w:szCs w:val="36"/>
        </w:rPr>
      </w:pPr>
      <w:r w:rsidRPr="000047D3">
        <w:rPr>
          <w:rFonts w:asciiTheme="minorHAnsi" w:hAnsiTheme="minorHAnsi"/>
          <w:sz w:val="24"/>
          <w:szCs w:val="28"/>
        </w:rPr>
        <w:br w:type="page"/>
      </w:r>
    </w:p>
    <w:p w14:paraId="3B41F8DD" w14:textId="5471DC37" w:rsidR="00056E7E" w:rsidRPr="000047D3" w:rsidRDefault="00827DCE">
      <w:pPr>
        <w:pStyle w:val="Heading1"/>
        <w:rPr>
          <w:rFonts w:asciiTheme="minorHAnsi" w:hAnsiTheme="minorHAnsi"/>
          <w:sz w:val="40"/>
          <w:szCs w:val="36"/>
        </w:rPr>
      </w:pPr>
      <w:r w:rsidRPr="000047D3">
        <w:rPr>
          <w:rFonts w:asciiTheme="minorHAnsi" w:hAnsiTheme="minorHAnsi"/>
          <w:sz w:val="40"/>
          <w:szCs w:val="36"/>
        </w:rPr>
        <w:t>DOMINION VI: DOMINION OF IRONGATE</w:t>
      </w:r>
    </w:p>
    <w:p w14:paraId="6CF50867"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Iron Benediction (formerly Chicago)</w:t>
      </w:r>
    </w:p>
    <w:p w14:paraId="0F505A9F"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Illinois, Indiana, Ohio, Michigan, Wisconsin</w:t>
      </w:r>
    </w:p>
    <w:p w14:paraId="623E2736"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05731BB6" w14:textId="77777777" w:rsidR="00056E7E" w:rsidRPr="000047D3" w:rsidRDefault="00827DCE">
      <w:pPr>
        <w:rPr>
          <w:rFonts w:asciiTheme="minorHAnsi" w:hAnsiTheme="minorHAnsi"/>
          <w:sz w:val="24"/>
          <w:szCs w:val="28"/>
        </w:rPr>
      </w:pPr>
      <w:r w:rsidRPr="000047D3">
        <w:rPr>
          <w:rFonts w:asciiTheme="minorHAnsi" w:hAnsiTheme="minorHAnsi"/>
          <w:sz w:val="24"/>
          <w:szCs w:val="28"/>
        </w:rPr>
        <w:t>Chicago was industry, music, and political machinery. The Empire found the industry and machinery useful and tried to dismantle the music. Iron Benediction is the manufacturing heart of the Empire, producing the infrastructure of Imperial life: construction materials, surveillance equipment, transportation systems, and the goods that keep the Dominions moving. The city’s old architectural grandeur stayed because great buildings make power look inevitable. The blues and jazz that shaped Chicago were labeled “morally ambiguous musical forms” in 2053 and officially suppressed. Officially. Which means they went underground and stayed there.</w:t>
      </w:r>
    </w:p>
    <w:p w14:paraId="4EC322D4"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WEATHER AND LANDSCAPE</w:t>
      </w:r>
    </w:p>
    <w:p w14:paraId="2F1C0FDC" w14:textId="77777777" w:rsidR="00056E7E" w:rsidRPr="000047D3" w:rsidRDefault="00827DCE">
      <w:pPr>
        <w:rPr>
          <w:rFonts w:asciiTheme="minorHAnsi" w:hAnsiTheme="minorHAnsi"/>
          <w:sz w:val="24"/>
          <w:szCs w:val="28"/>
        </w:rPr>
      </w:pPr>
      <w:r w:rsidRPr="000047D3">
        <w:rPr>
          <w:rFonts w:asciiTheme="minorHAnsi" w:hAnsiTheme="minorHAnsi"/>
          <w:sz w:val="24"/>
          <w:szCs w:val="28"/>
        </w:rPr>
        <w:t>Lake Michigan never cared about Imperial dignity. The winter wind off the lake is a physical argument. From November to April, Iron Benediction is coats, lowered heads, and bodies braced against weather. Summer feels like mercy and leaves too fast. The old South Side industrial districts carry a heavy metallic air, the smell of things being made and unmade at the same time.</w:t>
      </w:r>
    </w:p>
    <w:p w14:paraId="2A5A9C42"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71295E20" w14:textId="77777777" w:rsidR="00056E7E" w:rsidRPr="000047D3" w:rsidRDefault="00827DCE">
      <w:pPr>
        <w:rPr>
          <w:rFonts w:asciiTheme="minorHAnsi" w:hAnsiTheme="minorHAnsi"/>
          <w:sz w:val="24"/>
          <w:szCs w:val="28"/>
        </w:rPr>
      </w:pPr>
      <w:r w:rsidRPr="000047D3">
        <w:rPr>
          <w:rFonts w:asciiTheme="minorHAnsi" w:hAnsiTheme="minorHAnsi"/>
          <w:sz w:val="24"/>
          <w:szCs w:val="28"/>
        </w:rPr>
        <w:t>Irongate is the most class-stratified Dominion in the Empire. The manufacturing labor class and the administrative overclass might as well be living in different civilizations. In the labor districts, culture is survival-focused, community-bonded, and deeply suspicious of the Empire in ways that stay mostly wordless because language can get you flagged. Women run a mutual aid network so sophisticated and invisible that the Vowed officers have never mapped it. They call it The Kitchen — not only because kitchens are often involved, but because everything that comes from it is sustenance.</w:t>
      </w:r>
    </w:p>
    <w:p w14:paraId="177E682E"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676F74CA" w14:textId="77777777" w:rsidR="00056E7E" w:rsidRPr="000047D3" w:rsidRDefault="00827DCE">
      <w:pPr>
        <w:rPr>
          <w:rFonts w:asciiTheme="minorHAnsi" w:hAnsiTheme="minorHAnsi"/>
          <w:sz w:val="24"/>
          <w:szCs w:val="28"/>
        </w:rPr>
      </w:pPr>
      <w:r w:rsidRPr="000047D3">
        <w:rPr>
          <w:rFonts w:asciiTheme="minorHAnsi" w:hAnsiTheme="minorHAnsi"/>
          <w:sz w:val="24"/>
          <w:szCs w:val="28"/>
        </w:rPr>
        <w:t>In the labor districts, marriage is practical, witnessed by the community, and only Imperial on paper because not filing the paperwork has consequences. Families gather. Someone speaks. The couple exchanges something that means something to their people — a tool, a piece of food, a family object. In administrative districts, the Binding is full Imperial ceremony and heavily documented because status requires visible compliance. Labor-district women who marry upward often describe official Bindings as alien: too formal, too watched, and too empty of what marriage is supposed to feel like.</w:t>
      </w:r>
    </w:p>
    <w:p w14:paraId="6FBE427E"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7109C44C" w14:textId="77777777" w:rsidR="00056E7E" w:rsidRPr="000047D3" w:rsidRDefault="00827DCE">
      <w:pPr>
        <w:rPr>
          <w:rFonts w:asciiTheme="minorHAnsi" w:hAnsiTheme="minorHAnsi"/>
          <w:sz w:val="24"/>
          <w:szCs w:val="28"/>
        </w:rPr>
      </w:pPr>
      <w:r w:rsidRPr="000047D3">
        <w:rPr>
          <w:rFonts w:asciiTheme="minorHAnsi" w:hAnsiTheme="minorHAnsi"/>
          <w:sz w:val="24"/>
          <w:szCs w:val="28"/>
        </w:rPr>
        <w:t>At fourteen, labor-district girls undergo The Placement, a community-run assessment of what work they are suited for and what the community needs. The Empire’s Designation still happens at eighteen, but families have learned which scores open doors and which ones get a girl flagged. In administrative districts, girls are prepared for Designation from the time they can read. Irongate Covenant Daughters almost always come from the administrative class because the selection process filters for polish as well as intelligence, and polish requires resources.</w:t>
      </w:r>
    </w:p>
    <w:p w14:paraId="409800A9"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225E212C" w14:textId="77777777" w:rsidR="00056E7E" w:rsidRPr="000047D3" w:rsidRDefault="00827DCE">
      <w:pPr>
        <w:rPr>
          <w:rFonts w:asciiTheme="minorHAnsi" w:hAnsiTheme="minorHAnsi"/>
          <w:sz w:val="24"/>
          <w:szCs w:val="28"/>
        </w:rPr>
      </w:pPr>
      <w:r w:rsidRPr="000047D3">
        <w:rPr>
          <w:rFonts w:asciiTheme="minorHAnsi" w:hAnsiTheme="minorHAnsi"/>
          <w:sz w:val="24"/>
          <w:szCs w:val="28"/>
        </w:rPr>
        <w:t>Irongate candidates are almost always administrative daughters, even though the labor districts produce exceptional scores. When a labor-district girl makes it through, she arrives knowing things about survival the others have only studied. Administrative daughters score well in governance because they have watched their parents navigate legal and policy structures their whole lives. Labor daughters, when selected, tend to do what the scoring system does not anticipate: adapt in real time instead of applying a prepared answer. The judges have mixed feelings. The candidates do not.</w:t>
      </w:r>
    </w:p>
    <w:p w14:paraId="6AA6C496" w14:textId="7632279D"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w:t>
      </w:r>
      <w:r w:rsidR="00E7228C" w:rsidRPr="000047D3">
        <w:rPr>
          <w:rFonts w:asciiTheme="minorHAnsi" w:hAnsiTheme="minorHAnsi"/>
          <w:sz w:val="32"/>
          <w:szCs w:val="32"/>
        </w:rPr>
        <w:t>N</w:t>
      </w:r>
      <w:r w:rsidRPr="000047D3">
        <w:rPr>
          <w:rFonts w:asciiTheme="minorHAnsi" w:hAnsiTheme="minorHAnsi"/>
          <w:sz w:val="32"/>
          <w:szCs w:val="32"/>
        </w:rPr>
        <w:t>D BURIAL</w:t>
      </w:r>
    </w:p>
    <w:p w14:paraId="1AD08D21" w14:textId="77777777" w:rsidR="00056E7E" w:rsidRPr="000047D3" w:rsidRDefault="00827DCE">
      <w:pPr>
        <w:rPr>
          <w:rFonts w:asciiTheme="minorHAnsi" w:hAnsiTheme="minorHAnsi"/>
          <w:sz w:val="24"/>
          <w:szCs w:val="28"/>
        </w:rPr>
      </w:pPr>
      <w:r w:rsidRPr="000047D3">
        <w:rPr>
          <w:rFonts w:asciiTheme="minorHAnsi" w:hAnsiTheme="minorHAnsi"/>
          <w:sz w:val="24"/>
          <w:szCs w:val="28"/>
        </w:rPr>
        <w:t>Irongate buries its labor-class dead fast and its overclass dead slowly. In labor districts, bodies go to ground within two days because families cannot afford extended mourning. The community gathers the evening of the death and again the morning of burial. In between, people keep working because they have to. Grief happens in the margins — before shifts, after children sleep. In administrative districts, death becomes ceremony with Temple involvement and Broadcast notification for significant figures. Same city. Completely different death cultures.</w:t>
      </w:r>
    </w:p>
    <w:p w14:paraId="4DC2EE46" w14:textId="77777777" w:rsidR="00056E7E" w:rsidRPr="000047D3" w:rsidRDefault="00056E7E">
      <w:pPr>
        <w:rPr>
          <w:rFonts w:asciiTheme="minorHAnsi" w:hAnsiTheme="minorHAnsi"/>
          <w:sz w:val="24"/>
          <w:szCs w:val="28"/>
        </w:rPr>
      </w:pPr>
    </w:p>
    <w:p w14:paraId="4A3BD19D" w14:textId="77777777" w:rsidR="00056E7E" w:rsidRPr="000047D3" w:rsidRDefault="00056E7E">
      <w:pPr>
        <w:rPr>
          <w:rFonts w:asciiTheme="minorHAnsi" w:hAnsiTheme="minorHAnsi"/>
          <w:sz w:val="24"/>
          <w:szCs w:val="28"/>
        </w:rPr>
      </w:pPr>
    </w:p>
    <w:p w14:paraId="50F81B40" w14:textId="77777777" w:rsidR="00E7228C" w:rsidRPr="000047D3" w:rsidRDefault="00E7228C">
      <w:pPr>
        <w:spacing w:after="200" w:line="276" w:lineRule="auto"/>
        <w:rPr>
          <w:rFonts w:asciiTheme="minorHAnsi" w:eastAsiaTheme="majorEastAsia" w:hAnsiTheme="minorHAnsi" w:cstheme="majorBidi"/>
          <w:b/>
          <w:bCs/>
          <w:color w:val="FF1C22" w:themeColor="accent1" w:themeShade="BF"/>
          <w:sz w:val="40"/>
          <w:szCs w:val="36"/>
        </w:rPr>
      </w:pPr>
      <w:r w:rsidRPr="000047D3">
        <w:rPr>
          <w:rFonts w:asciiTheme="minorHAnsi" w:hAnsiTheme="minorHAnsi"/>
          <w:sz w:val="24"/>
          <w:szCs w:val="28"/>
        </w:rPr>
        <w:br w:type="page"/>
      </w:r>
    </w:p>
    <w:p w14:paraId="73E55A3C" w14:textId="7D26B4EE" w:rsidR="00056E7E" w:rsidRPr="000047D3" w:rsidRDefault="00827DCE">
      <w:pPr>
        <w:pStyle w:val="Heading1"/>
        <w:rPr>
          <w:rFonts w:asciiTheme="minorHAnsi" w:hAnsiTheme="minorHAnsi"/>
          <w:sz w:val="40"/>
          <w:szCs w:val="36"/>
        </w:rPr>
      </w:pPr>
      <w:r w:rsidRPr="000047D3">
        <w:rPr>
          <w:rFonts w:asciiTheme="minorHAnsi" w:hAnsiTheme="minorHAnsi"/>
          <w:sz w:val="40"/>
          <w:szCs w:val="36"/>
        </w:rPr>
        <w:t>DOMINION VII: HEARTLAND DOMINION</w:t>
      </w:r>
    </w:p>
    <w:p w14:paraId="40C3A6B5"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Providence Cross (formerly Kansas City)</w:t>
      </w:r>
    </w:p>
    <w:p w14:paraId="2CDF51C9"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Missouri, Kansas, Iowa, Nebraska, Minnesota, North Dakota, South Dakota</w:t>
      </w:r>
    </w:p>
    <w:p w14:paraId="60CF3C59"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094AFD26" w14:textId="77777777" w:rsidR="00056E7E" w:rsidRPr="000047D3" w:rsidRDefault="00827DCE">
      <w:pPr>
        <w:rPr>
          <w:rFonts w:asciiTheme="minorHAnsi" w:hAnsiTheme="minorHAnsi"/>
          <w:sz w:val="24"/>
          <w:szCs w:val="28"/>
        </w:rPr>
      </w:pPr>
      <w:r w:rsidRPr="000047D3">
        <w:rPr>
          <w:rFonts w:asciiTheme="minorHAnsi" w:hAnsiTheme="minorHAnsi"/>
          <w:sz w:val="24"/>
          <w:szCs w:val="28"/>
        </w:rPr>
        <w:t>The Heartland did not really need to be conquered. Much of it welcomed the Covenant Coalition because the Coalition had been building here for decades: churches becoming community centers, community centers becoming political organizations, political organizations becoming the bones of Imperial governance before anyone called it that. Providence Cross is the most genuinely Imperial-loyal seat city in the Empire, not because it was forced, but because many people believe. That is the Empire’s most valuable asset and one of its hardest to control. Real faith is harder to manage than performed faith because real believers have opinions about what faithfulness actually requires.</w:t>
      </w:r>
    </w:p>
    <w:p w14:paraId="18486801"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WEATHER AND LANDSCAPE</w:t>
      </w:r>
    </w:p>
    <w:p w14:paraId="2CCA9B19" w14:textId="77777777" w:rsidR="00056E7E" w:rsidRPr="000047D3" w:rsidRDefault="00827DCE">
      <w:pPr>
        <w:rPr>
          <w:rFonts w:asciiTheme="minorHAnsi" w:hAnsiTheme="minorHAnsi"/>
          <w:sz w:val="24"/>
          <w:szCs w:val="28"/>
        </w:rPr>
      </w:pPr>
      <w:r w:rsidRPr="000047D3">
        <w:rPr>
          <w:rFonts w:asciiTheme="minorHAnsi" w:hAnsiTheme="minorHAnsi"/>
          <w:sz w:val="24"/>
          <w:szCs w:val="28"/>
        </w:rPr>
        <w:t>The flat is absolute here. Sky in every direction. Unbroken horizon. Depending on what you are carrying, that can feel like freedom or exposure. Tornado season is a yearly reckoning that requires community cooperation to survive, so the communities are very good at cooperation. Winters are cold and stark. Summers are hot and agricultural. The land produces, and the people who work it understand every season how much they depend on it.</w:t>
      </w:r>
    </w:p>
    <w:p w14:paraId="48111F86"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53F32AA0" w14:textId="77777777" w:rsidR="00056E7E" w:rsidRPr="000047D3" w:rsidRDefault="00827DCE">
      <w:pPr>
        <w:rPr>
          <w:rFonts w:asciiTheme="minorHAnsi" w:hAnsiTheme="minorHAnsi"/>
          <w:sz w:val="24"/>
          <w:szCs w:val="28"/>
        </w:rPr>
      </w:pPr>
      <w:r w:rsidRPr="000047D3">
        <w:rPr>
          <w:rFonts w:asciiTheme="minorHAnsi" w:hAnsiTheme="minorHAnsi"/>
          <w:sz w:val="24"/>
          <w:szCs w:val="28"/>
        </w:rPr>
        <w:t>Heartland culture is the most openly Imperial in expression and the most complicated in content. People sing the hymns because they mean them. They attend Temple because they want to. They believe the Empire is imperfect but divinely sanctioned, and they argue carefully inside Temple spaces about what faithfulness to that belief requires. Some of the most interesting theological debates in the Empire happen in Providence Cross not despite the faith but because of it. Heartland women questioning the Commonwife designation do not call it political resistance. They call it theological inquiry. It is genuine. It is also strategically necessary.</w:t>
      </w:r>
    </w:p>
    <w:p w14:paraId="3542915C"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55CF488B" w14:textId="77777777" w:rsidR="00056E7E" w:rsidRPr="000047D3" w:rsidRDefault="00827DCE">
      <w:pPr>
        <w:rPr>
          <w:rFonts w:asciiTheme="minorHAnsi" w:hAnsiTheme="minorHAnsi"/>
          <w:sz w:val="24"/>
          <w:szCs w:val="28"/>
        </w:rPr>
      </w:pPr>
      <w:r w:rsidRPr="000047D3">
        <w:rPr>
          <w:rFonts w:asciiTheme="minorHAnsi" w:hAnsiTheme="minorHAnsi"/>
          <w:sz w:val="24"/>
          <w:szCs w:val="28"/>
        </w:rPr>
        <w:t>Heartland Bindings are the most religiously sincere in the Empire. Families prepare for months. The ceremony is long and participatory, with the community speaking over the couple instead of only the officiant. There are family-line prayers, hymns chosen by the bride’s mother, and a moment where the congregation speaks blessing aloud at the same time. It is moving and oppressive in equal measure, depending on where you stand. The night before, women gather for The Anointing. They wash and braid the bride’s hair, each woman speaking a private word over her. It may be the most tender thing the Empire accidentally preserved.</w:t>
      </w:r>
    </w:p>
    <w:p w14:paraId="16846DBE"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7172E005" w14:textId="77777777" w:rsidR="00056E7E" w:rsidRPr="000047D3" w:rsidRDefault="00827DCE">
      <w:pPr>
        <w:rPr>
          <w:rFonts w:asciiTheme="minorHAnsi" w:hAnsiTheme="minorHAnsi"/>
          <w:sz w:val="24"/>
          <w:szCs w:val="28"/>
        </w:rPr>
      </w:pPr>
      <w:r w:rsidRPr="000047D3">
        <w:rPr>
          <w:rFonts w:asciiTheme="minorHAnsi" w:hAnsiTheme="minorHAnsi"/>
          <w:sz w:val="24"/>
          <w:szCs w:val="28"/>
        </w:rPr>
        <w:t>At thirteen, Heartland girls participate in The First Covenant, a public declaration of Imperial and Temple loyalty witnessed by the whole community. It includes memorized scripture, a personal devotion statement, and a gift to the Temple. It is framed as the girl’s first adult act of faith. It is also the moment her Designation track is publicly determined. The community celebrates it as sacred. Girls who feel complicated about it learn to feel complicated privately.</w:t>
      </w:r>
    </w:p>
    <w:p w14:paraId="7C9F8BAA"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0FBDFEE2" w14:textId="77777777" w:rsidR="00056E7E" w:rsidRPr="000047D3" w:rsidRDefault="00827DCE">
      <w:pPr>
        <w:rPr>
          <w:rFonts w:asciiTheme="minorHAnsi" w:hAnsiTheme="minorHAnsi"/>
          <w:sz w:val="24"/>
          <w:szCs w:val="28"/>
        </w:rPr>
      </w:pPr>
      <w:r w:rsidRPr="000047D3">
        <w:rPr>
          <w:rFonts w:asciiTheme="minorHAnsi" w:hAnsiTheme="minorHAnsi"/>
          <w:sz w:val="24"/>
          <w:szCs w:val="28"/>
        </w:rPr>
        <w:t>Heartland produces the most theologically fluent Covenant Daughters because Heartland faith is the most genuine. When a Heartland woman says she believes the Covenant is the right order of things, she means it in a way Meridian’s compliance and Vane’s legacy performance cannot fully duplicate. The scoring council knows this. A girl who believes is more useful to the Empire than a girl who performs belief. Heartland Daughters arrive with devotion as their credential and faith as their liability, because real belief always has opinions. The most dangerous Heartland candidates have been asking questions since childhood and learned to make those questions sound like prayers.</w:t>
      </w:r>
    </w:p>
    <w:p w14:paraId="08151121"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AND BURIAL</w:t>
      </w:r>
    </w:p>
    <w:p w14:paraId="2B3EDC35" w14:textId="77777777" w:rsidR="00056E7E" w:rsidRPr="000047D3" w:rsidRDefault="00827DCE">
      <w:pPr>
        <w:rPr>
          <w:rFonts w:asciiTheme="minorHAnsi" w:hAnsiTheme="minorHAnsi"/>
          <w:sz w:val="24"/>
          <w:szCs w:val="28"/>
        </w:rPr>
      </w:pPr>
      <w:r w:rsidRPr="000047D3">
        <w:rPr>
          <w:rFonts w:asciiTheme="minorHAnsi" w:hAnsiTheme="minorHAnsi"/>
          <w:sz w:val="24"/>
          <w:szCs w:val="28"/>
        </w:rPr>
        <w:t>Heartland gives its dead back to flat earth through three days of communal ceremony. Cooking, singing, testimony, prayer — structured enough that no family grieves alone. The burial happens at dawn on the third day because Heartland theology says the soul needs the night to finish leaving and the dawn to complete the journey. After burial, the community plants something — a seed, a bulb, something that will come back. The Empire approved this in 2058 as a “spiritually aligned cultural tradition.” It was already happening. They just put their name on it.</w:t>
      </w:r>
    </w:p>
    <w:p w14:paraId="2592A018" w14:textId="77777777" w:rsidR="00056E7E" w:rsidRPr="000047D3" w:rsidRDefault="00056E7E">
      <w:pPr>
        <w:rPr>
          <w:rFonts w:asciiTheme="minorHAnsi" w:hAnsiTheme="minorHAnsi"/>
          <w:sz w:val="24"/>
          <w:szCs w:val="28"/>
        </w:rPr>
      </w:pPr>
    </w:p>
    <w:p w14:paraId="05146D19" w14:textId="77777777" w:rsidR="00056E7E" w:rsidRPr="000047D3" w:rsidRDefault="00056E7E">
      <w:pPr>
        <w:rPr>
          <w:rFonts w:asciiTheme="minorHAnsi" w:hAnsiTheme="minorHAnsi"/>
          <w:sz w:val="24"/>
          <w:szCs w:val="28"/>
        </w:rPr>
      </w:pPr>
    </w:p>
    <w:p w14:paraId="2C79EFDB" w14:textId="77777777" w:rsidR="00E7228C" w:rsidRPr="000047D3" w:rsidRDefault="00E7228C">
      <w:pPr>
        <w:spacing w:after="200" w:line="276" w:lineRule="auto"/>
        <w:rPr>
          <w:rFonts w:asciiTheme="minorHAnsi" w:eastAsiaTheme="majorEastAsia" w:hAnsiTheme="minorHAnsi" w:cstheme="majorBidi"/>
          <w:b/>
          <w:bCs/>
          <w:color w:val="FF1C22" w:themeColor="accent1" w:themeShade="BF"/>
          <w:sz w:val="40"/>
          <w:szCs w:val="36"/>
        </w:rPr>
      </w:pPr>
      <w:r w:rsidRPr="000047D3">
        <w:rPr>
          <w:rFonts w:asciiTheme="minorHAnsi" w:hAnsiTheme="minorHAnsi"/>
          <w:sz w:val="24"/>
          <w:szCs w:val="28"/>
        </w:rPr>
        <w:br w:type="page"/>
      </w:r>
    </w:p>
    <w:p w14:paraId="7BAA0A48" w14:textId="593A4BC7" w:rsidR="00056E7E" w:rsidRPr="000047D3" w:rsidRDefault="00827DCE">
      <w:pPr>
        <w:pStyle w:val="Heading1"/>
        <w:rPr>
          <w:rFonts w:asciiTheme="minorHAnsi" w:hAnsiTheme="minorHAnsi"/>
          <w:sz w:val="40"/>
          <w:szCs w:val="36"/>
        </w:rPr>
      </w:pPr>
      <w:r w:rsidRPr="000047D3">
        <w:rPr>
          <w:rFonts w:asciiTheme="minorHAnsi" w:hAnsiTheme="minorHAnsi"/>
          <w:sz w:val="40"/>
          <w:szCs w:val="36"/>
        </w:rPr>
        <w:t>DOMINION VIII: DOMINION OF RED EARTH</w:t>
      </w:r>
    </w:p>
    <w:p w14:paraId="455960D2"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Canaan’s Gate (formerly Oklahoma City)</w:t>
      </w:r>
    </w:p>
    <w:p w14:paraId="10E42B17"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Oklahoma, Arkansas, eastern Kansas, southwestern Missouri</w:t>
      </w:r>
    </w:p>
    <w:p w14:paraId="1FC66410"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18F98B30" w14:textId="77777777" w:rsidR="00056E7E" w:rsidRPr="000047D3" w:rsidRDefault="00827DCE">
      <w:pPr>
        <w:rPr>
          <w:rFonts w:asciiTheme="minorHAnsi" w:hAnsiTheme="minorHAnsi"/>
          <w:sz w:val="24"/>
          <w:szCs w:val="28"/>
        </w:rPr>
      </w:pPr>
      <w:r w:rsidRPr="000047D3">
        <w:rPr>
          <w:rFonts w:asciiTheme="minorHAnsi" w:hAnsiTheme="minorHAnsi"/>
          <w:sz w:val="24"/>
          <w:szCs w:val="28"/>
        </w:rPr>
        <w:t>Oklahoma already had a history shaped by land taken and people removed before the Empire ever arrived, so Red Earth was never going to have a simple relationship with authority. Canaan’s Gate was built over a city that survived a 1995 bombing and rebuilt itself. The Empire found that resilience narrative useful. Red Earth is also where the Commonwife quota system was piloted in 2058 before expanding Empire-wide. The women of Canaan’s Gate were the first to live under the full version of it, and they have lived with it the longest. That history is in the walls. You can feel it if you know what you are feeling.</w:t>
      </w:r>
    </w:p>
    <w:p w14:paraId="73500859"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WEATHER AND LANDSCAPE</w:t>
      </w:r>
    </w:p>
    <w:p w14:paraId="605D2EF3" w14:textId="77777777" w:rsidR="00056E7E" w:rsidRPr="000047D3" w:rsidRDefault="00827DCE">
      <w:pPr>
        <w:rPr>
          <w:rFonts w:asciiTheme="minorHAnsi" w:hAnsiTheme="minorHAnsi"/>
          <w:sz w:val="24"/>
          <w:szCs w:val="28"/>
        </w:rPr>
      </w:pPr>
      <w:r w:rsidRPr="000047D3">
        <w:rPr>
          <w:rFonts w:asciiTheme="minorHAnsi" w:hAnsiTheme="minorHAnsi"/>
          <w:sz w:val="24"/>
          <w:szCs w:val="28"/>
        </w:rPr>
        <w:t>The red clay soil that names the Dominion gets into everything: roads, buildings, the hems of skirts in dry season. The wind arrives from nowhere and means business. Winter ice storms are more dangerous than snow because they look less dramatic while doing more damage. The land is beautiful in a way that feels indifferent to human suffering, which is its own theological statement.</w:t>
      </w:r>
    </w:p>
    <w:p w14:paraId="1239A20E"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480ABC24" w14:textId="77777777" w:rsidR="00056E7E" w:rsidRPr="000047D3" w:rsidRDefault="00827DCE">
      <w:pPr>
        <w:rPr>
          <w:rFonts w:asciiTheme="minorHAnsi" w:hAnsiTheme="minorHAnsi"/>
          <w:sz w:val="24"/>
          <w:szCs w:val="28"/>
        </w:rPr>
      </w:pPr>
      <w:r w:rsidRPr="000047D3">
        <w:rPr>
          <w:rFonts w:asciiTheme="minorHAnsi" w:hAnsiTheme="minorHAnsi"/>
          <w:sz w:val="24"/>
          <w:szCs w:val="28"/>
        </w:rPr>
        <w:t>Red Earth is the most visibly religious Dominion in public architecture and the most privately exhausted in its people. Scripture on every building. Temple bells every hour. Vowed officers embedded so deeply in community life that they attend school performances and neighborhood gatherings as “pastoral care,” which is really surveillance with better manners. The women of Canaan’s Gate have been performing compliance longer than anyone, and they are good at it. Under the performance is a language of small signals refined over decades: a way of folding hands, a phrase that means something different than what it says. The Empire has been trying to read them for forty years and still has not fully succeeded.</w:t>
      </w:r>
    </w:p>
    <w:p w14:paraId="67D0C472"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4F0D36CF" w14:textId="77777777" w:rsidR="00056E7E" w:rsidRPr="000047D3" w:rsidRDefault="00827DCE">
      <w:pPr>
        <w:rPr>
          <w:rFonts w:asciiTheme="minorHAnsi" w:hAnsiTheme="minorHAnsi"/>
          <w:sz w:val="24"/>
          <w:szCs w:val="28"/>
        </w:rPr>
      </w:pPr>
      <w:r w:rsidRPr="000047D3">
        <w:rPr>
          <w:rFonts w:asciiTheme="minorHAnsi" w:hAnsiTheme="minorHAnsi"/>
          <w:sz w:val="24"/>
          <w:szCs w:val="28"/>
        </w:rPr>
        <w:t>Red Earth Bindings are the most surveilled in the Empire because the Commonwife quota system requires real-time documentation of every marriage. Vowed officers attend every Binding as official witnesses. The ceremony itself is short and standardized. The real marriage begins afterward, in family homes, in the conversations nobody records. The morning after, mothers take daughters aside for The Second Covenant, a private conversation about what the first Covenant actually means and what the daughter is allowed to keep for herself. It is passed so consistently that women across Red Earth who have never met are having the same conversation in almost the same words.</w:t>
      </w:r>
    </w:p>
    <w:p w14:paraId="1A752D60"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1C5A78CB" w14:textId="77777777" w:rsidR="00056E7E" w:rsidRPr="000047D3" w:rsidRDefault="00827DCE">
      <w:pPr>
        <w:rPr>
          <w:rFonts w:asciiTheme="minorHAnsi" w:hAnsiTheme="minorHAnsi"/>
          <w:sz w:val="24"/>
          <w:szCs w:val="28"/>
        </w:rPr>
      </w:pPr>
      <w:r w:rsidRPr="000047D3">
        <w:rPr>
          <w:rFonts w:asciiTheme="minorHAnsi" w:hAnsiTheme="minorHAnsi"/>
          <w:sz w:val="24"/>
          <w:szCs w:val="28"/>
        </w:rPr>
        <w:t>At eighteen, Red Earth girls undergo the most intensive Designation process in the Empire: two weeks of assessment in Temple spaces, Crown facilities, and “domestic simulation environments” where girls perform household tasks and are evaluated for “covenantal aptitude.” The girls who perform best are not always the most naturally compliant. They are the ones who learned to perform compliance while thinking something else entirely. That skill is Red Earth’s real cultural export, even if the Broadcast would never say it.</w:t>
      </w:r>
    </w:p>
    <w:p w14:paraId="79D98AC2"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29AD31E9" w14:textId="77777777" w:rsidR="00056E7E" w:rsidRPr="000047D3" w:rsidRDefault="00827DCE">
      <w:pPr>
        <w:rPr>
          <w:rFonts w:asciiTheme="minorHAnsi" w:hAnsiTheme="minorHAnsi"/>
          <w:sz w:val="24"/>
          <w:szCs w:val="28"/>
        </w:rPr>
      </w:pPr>
      <w:r w:rsidRPr="000047D3">
        <w:rPr>
          <w:rFonts w:asciiTheme="minorHAnsi" w:hAnsiTheme="minorHAnsi"/>
          <w:sz w:val="24"/>
          <w:szCs w:val="28"/>
        </w:rPr>
        <w:t>Red Earth Covenant Daughters are the most practiced at what the Trials reward most: performing compliance while thinking something else. Forty years under the fullest version of Imperial governance has made Canaan’s Gate women exceptional at giving the Empire what it wants to see. They arrive perfectly prepared, perfectly composed, and nearly impossible to read. The scoring council often places Red Earth candidates in the middle of the pack until it realizes too late that middle was a choice, not a ceiling.</w:t>
      </w:r>
    </w:p>
    <w:p w14:paraId="3261D147"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AND BURIAL</w:t>
      </w:r>
    </w:p>
    <w:p w14:paraId="6DA66F6D" w14:textId="77777777" w:rsidR="00056E7E" w:rsidRPr="000047D3" w:rsidRDefault="00827DCE">
      <w:pPr>
        <w:rPr>
          <w:rFonts w:asciiTheme="minorHAnsi" w:hAnsiTheme="minorHAnsi"/>
          <w:sz w:val="24"/>
          <w:szCs w:val="28"/>
        </w:rPr>
      </w:pPr>
      <w:r w:rsidRPr="000047D3">
        <w:rPr>
          <w:rFonts w:asciiTheme="minorHAnsi" w:hAnsiTheme="minorHAnsi"/>
          <w:sz w:val="24"/>
          <w:szCs w:val="28"/>
        </w:rPr>
        <w:t>Red Earth buries its dead with the tenderness of a community used to losing and refusing to be destroyed by loss. The body stays in the family home for two days. Women of the community sit with it in shifts — specifically women, a practice the Empire has never understood and therefore never bothered to regulate. Burial happens at midday on the third day, the hottest part of the day, because Red Earth women believe grief should be felt fully and the body should know the sun’s warmth before the earth takes it. Red clay is packed down by family hands. A stone is placed. A name is said three times. Then everyone goes inside and eats until grief becomes survivable.</w:t>
      </w:r>
    </w:p>
    <w:p w14:paraId="250D9240" w14:textId="77777777" w:rsidR="00056E7E" w:rsidRPr="000047D3" w:rsidRDefault="00056E7E">
      <w:pPr>
        <w:rPr>
          <w:rFonts w:asciiTheme="minorHAnsi" w:hAnsiTheme="minorHAnsi"/>
          <w:sz w:val="24"/>
          <w:szCs w:val="28"/>
        </w:rPr>
      </w:pPr>
    </w:p>
    <w:p w14:paraId="14B05939" w14:textId="77777777" w:rsidR="00056E7E" w:rsidRPr="000047D3" w:rsidRDefault="00056E7E">
      <w:pPr>
        <w:rPr>
          <w:rFonts w:asciiTheme="minorHAnsi" w:hAnsiTheme="minorHAnsi"/>
          <w:sz w:val="24"/>
          <w:szCs w:val="28"/>
        </w:rPr>
      </w:pPr>
    </w:p>
    <w:p w14:paraId="7FD853AD" w14:textId="77777777" w:rsidR="00E7228C" w:rsidRPr="000047D3" w:rsidRDefault="00E7228C">
      <w:pPr>
        <w:spacing w:after="200" w:line="276" w:lineRule="auto"/>
        <w:rPr>
          <w:rFonts w:asciiTheme="minorHAnsi" w:eastAsiaTheme="majorEastAsia" w:hAnsiTheme="minorHAnsi" w:cstheme="majorBidi"/>
          <w:b/>
          <w:bCs/>
          <w:color w:val="FF1C22" w:themeColor="accent1" w:themeShade="BF"/>
          <w:sz w:val="40"/>
          <w:szCs w:val="36"/>
        </w:rPr>
      </w:pPr>
      <w:r w:rsidRPr="000047D3">
        <w:rPr>
          <w:rFonts w:asciiTheme="minorHAnsi" w:hAnsiTheme="minorHAnsi"/>
          <w:sz w:val="24"/>
          <w:szCs w:val="28"/>
        </w:rPr>
        <w:br w:type="page"/>
      </w:r>
    </w:p>
    <w:p w14:paraId="4C5BAD7B" w14:textId="5CF360E0" w:rsidR="00056E7E" w:rsidRPr="000047D3" w:rsidRDefault="00827DCE">
      <w:pPr>
        <w:pStyle w:val="Heading1"/>
        <w:rPr>
          <w:rFonts w:asciiTheme="minorHAnsi" w:hAnsiTheme="minorHAnsi"/>
          <w:sz w:val="40"/>
          <w:szCs w:val="36"/>
        </w:rPr>
      </w:pPr>
      <w:r w:rsidRPr="000047D3">
        <w:rPr>
          <w:rFonts w:asciiTheme="minorHAnsi" w:hAnsiTheme="minorHAnsi"/>
          <w:sz w:val="40"/>
          <w:szCs w:val="36"/>
        </w:rPr>
        <w:t>DOMINION IX: LONE DOMINION</w:t>
      </w:r>
    </w:p>
    <w:p w14:paraId="741B365A"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Covenant Basin (formerly Houston)</w:t>
      </w:r>
    </w:p>
    <w:p w14:paraId="5300FF66"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Texas, New Mexico, western Louisiana</w:t>
      </w:r>
    </w:p>
    <w:p w14:paraId="4B36AB96"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0B6177AE" w14:textId="77777777" w:rsidR="00056E7E" w:rsidRPr="000047D3" w:rsidRDefault="00827DCE">
      <w:pPr>
        <w:rPr>
          <w:rFonts w:asciiTheme="minorHAnsi" w:hAnsiTheme="minorHAnsi"/>
          <w:sz w:val="24"/>
          <w:szCs w:val="28"/>
        </w:rPr>
      </w:pPr>
      <w:r w:rsidRPr="000047D3">
        <w:rPr>
          <w:rFonts w:asciiTheme="minorHAnsi" w:hAnsiTheme="minorHAnsi"/>
          <w:sz w:val="24"/>
          <w:szCs w:val="28"/>
        </w:rPr>
        <w:t>Texas negotiated its surrender, and that negotiation shaped everything Lone Dominion became. The Empire got the territory. Texas kept the attitude. Covenant Basin is oil wealth and space infrastructure absorbed into Imperial control, and the Empire needed both too badly to be punitive about the terms. The Governor-Prelate has always been Texas-born, has always had more operational independence than other Dominion leaders, and has always used that independence in ways that keep the Crown mildly irritated. Lone people know they have leverage. They have never stopped using it.</w:t>
      </w:r>
    </w:p>
    <w:p w14:paraId="68DCD945"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WEATHER AND LANDSCAPE</w:t>
      </w:r>
    </w:p>
    <w:p w14:paraId="7B881004" w14:textId="77777777" w:rsidR="00056E7E" w:rsidRPr="000047D3" w:rsidRDefault="00827DCE">
      <w:pPr>
        <w:rPr>
          <w:rFonts w:asciiTheme="minorHAnsi" w:hAnsiTheme="minorHAnsi"/>
          <w:sz w:val="24"/>
          <w:szCs w:val="28"/>
        </w:rPr>
      </w:pPr>
      <w:r w:rsidRPr="000047D3">
        <w:rPr>
          <w:rFonts w:asciiTheme="minorHAnsi" w:hAnsiTheme="minorHAnsi"/>
          <w:sz w:val="24"/>
          <w:szCs w:val="28"/>
        </w:rPr>
        <w:t>Covenant Basin sits in Gulf Coast heat, but it is not Aurelia heat. It is industrial heat, heavy with petrochemical infrastructure. The Texas landscape is too enormous to behave well for governance. Distances between communities are so vast that the surveillance grid has real gaps. West Lone, past the old Hill Country, is nearly ungovernable by infrastructure alone. The Empire manages it through local Vowed officers instead of centralized monitoring. The night sky in west Texas is extraordinary. The Empire leaves it unlit partly because light pollution would affect military operations in Mountain Dominion, and partly because controlling the sky over west Texas was never realistic in the first place.</w:t>
      </w:r>
    </w:p>
    <w:p w14:paraId="57374F58"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7FEBC45F" w14:textId="77777777" w:rsidR="00056E7E" w:rsidRPr="000047D3" w:rsidRDefault="00827DCE">
      <w:pPr>
        <w:rPr>
          <w:rFonts w:asciiTheme="minorHAnsi" w:hAnsiTheme="minorHAnsi"/>
          <w:sz w:val="24"/>
          <w:szCs w:val="28"/>
        </w:rPr>
      </w:pPr>
      <w:r w:rsidRPr="000047D3">
        <w:rPr>
          <w:rFonts w:asciiTheme="minorHAnsi" w:hAnsiTheme="minorHAnsi"/>
          <w:sz w:val="24"/>
          <w:szCs w:val="28"/>
        </w:rPr>
        <w:t>Lone Dominion is the most openly performative about Imperial loyalty and the most privately independent. People will tell you they are faithful subjects and mean it, then go do exactly what they were going to do anyway. The Governor-Prelate has never filed a full Ungoverned incident report because Lone interprets “Ungoverned” more loosely than the Crown officially approves. Women in the outer territories operate with a practical autonomy that would get them flagged in Aurem or Red Earth. Nobody files the paperwork because the Governor-Prelate does not require it, and the Crown has decided oil revenue makes that acceptable.</w:t>
      </w:r>
    </w:p>
    <w:p w14:paraId="3B89656F"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210527FF" w14:textId="77777777" w:rsidR="00056E7E" w:rsidRPr="000047D3" w:rsidRDefault="00827DCE">
      <w:pPr>
        <w:rPr>
          <w:rFonts w:asciiTheme="minorHAnsi" w:hAnsiTheme="minorHAnsi"/>
          <w:sz w:val="24"/>
          <w:szCs w:val="28"/>
        </w:rPr>
      </w:pPr>
      <w:r w:rsidRPr="000047D3">
        <w:rPr>
          <w:rFonts w:asciiTheme="minorHAnsi" w:hAnsiTheme="minorHAnsi"/>
          <w:sz w:val="24"/>
          <w:szCs w:val="28"/>
        </w:rPr>
        <w:t>In Covenant Basin, Bindings are correct and documented because the city is too visible for anything else. In the outer territories, the Empire’s marriage requirements are met minimally: paperwork filed eventually, ceremony handled however the family decides. The Giving is the outer-territory tradition. The night before the Binding, the bride’s family gives her something that belonged to her grandmother — a tool, jewelry, a written document, a seed. Something that connects her backward before she is forced to go forward. In a Dominion where women have slightly more room to breathe, The Giving says she is more than what the Empire calls her.</w:t>
      </w:r>
    </w:p>
    <w:p w14:paraId="60987A65"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549C4F6E" w14:textId="77777777" w:rsidR="00056E7E" w:rsidRPr="000047D3" w:rsidRDefault="00827DCE">
      <w:pPr>
        <w:rPr>
          <w:rFonts w:asciiTheme="minorHAnsi" w:hAnsiTheme="minorHAnsi"/>
          <w:sz w:val="24"/>
          <w:szCs w:val="28"/>
        </w:rPr>
      </w:pPr>
      <w:r w:rsidRPr="000047D3">
        <w:rPr>
          <w:rFonts w:asciiTheme="minorHAnsi" w:hAnsiTheme="minorHAnsi"/>
          <w:sz w:val="24"/>
          <w:szCs w:val="28"/>
        </w:rPr>
        <w:t>In Covenant Basin, the standard Designation happens at sixteen because the city is watched. In the outer territories, coming of age is The First Ride. Literal, not symbolic. A girl is given responsibility for navigating a significant distance alone or with peers through the outer landscape. The community waits for her return. When she comes back, she has demonstrated the judgment and capability adulthood requires. The Empire has never acknowledged this practice. The outer territories have never needed that acknowledgment.</w:t>
      </w:r>
    </w:p>
    <w:p w14:paraId="154D9459"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5C40C6B0" w14:textId="77777777" w:rsidR="00056E7E" w:rsidRPr="000047D3" w:rsidRDefault="00827DCE">
      <w:pPr>
        <w:rPr>
          <w:rFonts w:asciiTheme="minorHAnsi" w:hAnsiTheme="minorHAnsi"/>
          <w:sz w:val="24"/>
          <w:szCs w:val="28"/>
        </w:rPr>
      </w:pPr>
      <w:r w:rsidRPr="000047D3">
        <w:rPr>
          <w:rFonts w:asciiTheme="minorHAnsi" w:hAnsiTheme="minorHAnsi"/>
          <w:sz w:val="24"/>
          <w:szCs w:val="28"/>
        </w:rPr>
        <w:t>Lone treats the Covenant Trials the way it treats most Imperial requirements: if a girl is selected, she goes, the Dominion supports her adequately, and nobody gets too emotional about the outcome. A Lone Anointed Wife would be useful for oil revenue negotiations, space infrastructure contracts, and the Governor-Prelate’s ongoing project of staying as independent from the Crown as possible. That calculation shapes preparation. The candidates themselves tend to approach the Trials with Lone directness: do the thing, see what happens, do not let anybody talk too long around the point.</w:t>
      </w:r>
    </w:p>
    <w:p w14:paraId="48F7ABCA"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AND BURIAL</w:t>
      </w:r>
    </w:p>
    <w:p w14:paraId="60863561" w14:textId="77777777" w:rsidR="00056E7E" w:rsidRPr="000047D3" w:rsidRDefault="00827DCE">
      <w:pPr>
        <w:rPr>
          <w:rFonts w:asciiTheme="minorHAnsi" w:hAnsiTheme="minorHAnsi"/>
          <w:sz w:val="24"/>
          <w:szCs w:val="28"/>
        </w:rPr>
      </w:pPr>
      <w:r w:rsidRPr="000047D3">
        <w:rPr>
          <w:rFonts w:asciiTheme="minorHAnsi" w:hAnsiTheme="minorHAnsi"/>
          <w:sz w:val="24"/>
          <w:szCs w:val="28"/>
        </w:rPr>
        <w:t>Lone buries its dead with boots on. The tradition is so old and embedded the Empire approved it without fully understanding it. The boots mean you are ready for wherever you are going next. They mean you do not arrive somewhere new unprepared. They mean your people sent you out right. The gathering after burial goes as long as it needs to, with no set end time, which is unusual in the Empire’s scheduled world. The Governor-Prelate has never tried to regulate it because some things in Lone are not worth the political cost.</w:t>
      </w:r>
    </w:p>
    <w:p w14:paraId="444CF3C7" w14:textId="77777777" w:rsidR="00E7228C" w:rsidRPr="000047D3" w:rsidRDefault="00E7228C">
      <w:pPr>
        <w:spacing w:after="200" w:line="276" w:lineRule="auto"/>
        <w:rPr>
          <w:rFonts w:asciiTheme="minorHAnsi" w:eastAsiaTheme="majorEastAsia" w:hAnsiTheme="minorHAnsi" w:cstheme="majorBidi"/>
          <w:b/>
          <w:bCs/>
          <w:color w:val="FF1C22" w:themeColor="accent1" w:themeShade="BF"/>
          <w:sz w:val="40"/>
          <w:szCs w:val="36"/>
        </w:rPr>
      </w:pPr>
      <w:r w:rsidRPr="000047D3">
        <w:rPr>
          <w:rFonts w:asciiTheme="minorHAnsi" w:hAnsiTheme="minorHAnsi"/>
          <w:sz w:val="24"/>
          <w:szCs w:val="28"/>
        </w:rPr>
        <w:br w:type="page"/>
      </w:r>
    </w:p>
    <w:p w14:paraId="093702CA" w14:textId="290F200A" w:rsidR="00056E7E" w:rsidRPr="000047D3" w:rsidRDefault="00827DCE">
      <w:pPr>
        <w:pStyle w:val="Heading1"/>
        <w:rPr>
          <w:rFonts w:asciiTheme="minorHAnsi" w:hAnsiTheme="minorHAnsi"/>
          <w:sz w:val="40"/>
          <w:szCs w:val="36"/>
        </w:rPr>
      </w:pPr>
      <w:r w:rsidRPr="000047D3">
        <w:rPr>
          <w:rFonts w:asciiTheme="minorHAnsi" w:hAnsiTheme="minorHAnsi"/>
          <w:sz w:val="40"/>
          <w:szCs w:val="36"/>
        </w:rPr>
        <w:t>DOMINION X: MOUNTAIN DOMINION</w:t>
      </w:r>
    </w:p>
    <w:p w14:paraId="1E72C4D8"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Crestfall (formerly Denver)</w:t>
      </w:r>
    </w:p>
    <w:p w14:paraId="33F6548E"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Colorado, Wyoming, Montana, Idaho, portions of Utah and Nevada</w:t>
      </w:r>
    </w:p>
    <w:p w14:paraId="5D05CA8F"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4238C0DE" w14:textId="77777777" w:rsidR="00056E7E" w:rsidRPr="000047D3" w:rsidRDefault="00827DCE">
      <w:pPr>
        <w:rPr>
          <w:rFonts w:asciiTheme="minorHAnsi" w:hAnsiTheme="minorHAnsi"/>
          <w:sz w:val="24"/>
          <w:szCs w:val="28"/>
        </w:rPr>
      </w:pPr>
      <w:r w:rsidRPr="000047D3">
        <w:rPr>
          <w:rFonts w:asciiTheme="minorHAnsi" w:hAnsiTheme="minorHAnsi"/>
          <w:sz w:val="24"/>
          <w:szCs w:val="28"/>
        </w:rPr>
        <w:t>The Empire wanted the mountains for what was inside them: mineral resources, military installation space, elevation, and all the strategic advantage that comes with hard-to-reach places. Crestfall is the administrative compromise — a city that looks manageable, with visible Crown military presence and paperwork for what happens further up. Nobody talks too much about what happens further up. Mountain Dominion’s classified operations are the Empire’s least documented and most important: surveillance technology, resource extraction, Temple expansion funding, and military capacity that has never had to be used because existing is already a threat. Crestfall is the face. The mountains are the truth.</w:t>
      </w:r>
    </w:p>
    <w:p w14:paraId="761964CC"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WEATHER AND LANDSCAPE</w:t>
      </w:r>
    </w:p>
    <w:p w14:paraId="473CDAFF" w14:textId="77777777" w:rsidR="00056E7E" w:rsidRPr="000047D3" w:rsidRDefault="00827DCE">
      <w:pPr>
        <w:rPr>
          <w:rFonts w:asciiTheme="minorHAnsi" w:hAnsiTheme="minorHAnsi"/>
          <w:sz w:val="24"/>
          <w:szCs w:val="28"/>
        </w:rPr>
      </w:pPr>
      <w:r w:rsidRPr="000047D3">
        <w:rPr>
          <w:rFonts w:asciiTheme="minorHAnsi" w:hAnsiTheme="minorHAnsi"/>
          <w:sz w:val="24"/>
          <w:szCs w:val="28"/>
        </w:rPr>
        <w:t>Altitude changes everything. Crestfall sits a mile above sea level, and the air makes sure you know it — thinner, dryer, colder in a way that feels clean and absolute. Snow comes early and stays. The Rockies are visible from everywhere, enormous and indifferent, older than every government that has claimed the land beneath them. Summer wildflowers are extraordinary and brief. Winters are long and clarifying.</w:t>
      </w:r>
    </w:p>
    <w:p w14:paraId="14D5FC33"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7038EC8B" w14:textId="77777777" w:rsidR="00056E7E" w:rsidRPr="000047D3" w:rsidRDefault="00827DCE">
      <w:pPr>
        <w:rPr>
          <w:rFonts w:asciiTheme="minorHAnsi" w:hAnsiTheme="minorHAnsi"/>
          <w:sz w:val="24"/>
          <w:szCs w:val="28"/>
        </w:rPr>
      </w:pPr>
      <w:r w:rsidRPr="000047D3">
        <w:rPr>
          <w:rFonts w:asciiTheme="minorHAnsi" w:hAnsiTheme="minorHAnsi"/>
          <w:sz w:val="24"/>
          <w:szCs w:val="28"/>
        </w:rPr>
        <w:t>Crestfall has a military culture that absorbed Imperial faith instead of the other way around. The Temple is present, but Crown military presence shapes the city more deeply. Discipline already mattered here before the Empire made it doctrine. Crestfall women are, on average, the most physically capable in the Empire because altitude and surviving outdoor culture require it. They are also among the most watched. Military cities are surveillance-heavy for reasons that have nothing to do with faith and everything to do with secrets. Mountain Covenant Daughters carry a quality other candidates notice and cannot name: the alertness of someone raised knowing what she does not know might be classified.</w:t>
      </w:r>
    </w:p>
    <w:p w14:paraId="2FEE7632"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6A392EBC" w14:textId="77777777" w:rsidR="00056E7E" w:rsidRPr="000047D3" w:rsidRDefault="00827DCE">
      <w:pPr>
        <w:rPr>
          <w:rFonts w:asciiTheme="minorHAnsi" w:hAnsiTheme="minorHAnsi"/>
          <w:sz w:val="24"/>
          <w:szCs w:val="28"/>
        </w:rPr>
      </w:pPr>
      <w:r w:rsidRPr="000047D3">
        <w:rPr>
          <w:rFonts w:asciiTheme="minorHAnsi" w:hAnsiTheme="minorHAnsi"/>
          <w:sz w:val="24"/>
          <w:szCs w:val="28"/>
        </w:rPr>
        <w:t>Crestfall Bindings are efficient and military-adjacent. Crown officers serve as witnesses alongside Temple officiants, a practice unique to Mountain. The paperwork moves fast. The ceremony is dignified and brief. In mountain communities farther from Crestfall, marriage is marked by The Witness Walk. The couple walks a significant distance in the mountains alone before the community ceremony. Whatever is said on that walk belongs to them. They return, and the ceremony proceeds. The walk is the real marriage. The ceremony is documentation.</w:t>
      </w:r>
    </w:p>
    <w:p w14:paraId="00AF9145"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6A64ADF3" w14:textId="77777777" w:rsidR="00056E7E" w:rsidRPr="000047D3" w:rsidRDefault="00827DCE">
      <w:pPr>
        <w:rPr>
          <w:rFonts w:asciiTheme="minorHAnsi" w:hAnsiTheme="minorHAnsi"/>
          <w:sz w:val="24"/>
          <w:szCs w:val="28"/>
        </w:rPr>
      </w:pPr>
      <w:r w:rsidRPr="000047D3">
        <w:rPr>
          <w:rFonts w:asciiTheme="minorHAnsi" w:hAnsiTheme="minorHAnsi"/>
          <w:sz w:val="24"/>
          <w:szCs w:val="28"/>
        </w:rPr>
        <w:t>Mountain Designation happens at sixteen and includes a physical assessment component no other Dominion uses. The Empire calls it evaluating a girl’s “capacity for stewardship of demanding environments.” What it actually does is identify girls with exceptional physical and problem-solving capability for possible Vowed service in classified mountain operations. Girls selected for that track disappear quietly from public Dominion life and never enter the Covenant Daughter pool. Where they go is not Broadcast material.</w:t>
      </w:r>
    </w:p>
    <w:p w14:paraId="337231B9" w14:textId="77777777" w:rsidR="00056E7E" w:rsidRPr="000047D3" w:rsidRDefault="00056E7E">
      <w:pPr>
        <w:rPr>
          <w:rFonts w:asciiTheme="minorHAnsi" w:hAnsiTheme="minorHAnsi"/>
          <w:sz w:val="24"/>
          <w:szCs w:val="28"/>
        </w:rPr>
      </w:pPr>
    </w:p>
    <w:p w14:paraId="3EEA6178"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40AA1B93" w14:textId="77777777" w:rsidR="00056E7E" w:rsidRPr="000047D3" w:rsidRDefault="00827DCE">
      <w:pPr>
        <w:rPr>
          <w:rFonts w:asciiTheme="minorHAnsi" w:hAnsiTheme="minorHAnsi"/>
          <w:sz w:val="24"/>
          <w:szCs w:val="28"/>
        </w:rPr>
      </w:pPr>
      <w:r w:rsidRPr="000047D3">
        <w:rPr>
          <w:rFonts w:asciiTheme="minorHAnsi" w:hAnsiTheme="minorHAnsi"/>
          <w:sz w:val="24"/>
          <w:szCs w:val="28"/>
        </w:rPr>
        <w:t>Mountain has never produced an Anointed Wife. Its selection history is inconsistent, and scoring notes call Mountain Covenant Daughters “highly capable, difficult to assess,” which is Crown advisor language for she does not behave the way we expect, and we do not know how to score her. Endurance, Phase Three of the Trials, was traditionally held in Mountain terrain for the first thirty-one Trials, then moved to a controlled facility for Trials thirty-two through thirty-eight. The 39th Trial’s return to Mountain terrain was not publicly explained. Classified operations higher in the range continue regardless of whether Covenant Daughters are crossing lower terrain. The Empire does not acknowledge that those facts are related.</w:t>
      </w:r>
    </w:p>
    <w:p w14:paraId="24586FB0"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AND BURIAL</w:t>
      </w:r>
    </w:p>
    <w:p w14:paraId="6FC18881" w14:textId="77777777" w:rsidR="00056E7E" w:rsidRPr="000047D3" w:rsidRDefault="00827DCE">
      <w:pPr>
        <w:rPr>
          <w:rFonts w:asciiTheme="minorHAnsi" w:hAnsiTheme="minorHAnsi"/>
          <w:sz w:val="24"/>
          <w:szCs w:val="28"/>
        </w:rPr>
      </w:pPr>
      <w:r w:rsidRPr="000047D3">
        <w:rPr>
          <w:rFonts w:asciiTheme="minorHAnsi" w:hAnsiTheme="minorHAnsi"/>
          <w:sz w:val="24"/>
          <w:szCs w:val="28"/>
        </w:rPr>
        <w:t>Mountain dead are returned to elevation when possible, buried on family land in the high country, above the tree line if the family can manage it. The ceremony is brief because the mountain requires efficiency. A specific prayer is said once. The name is spoken directly to the mountain — not to God, not to the Temple, to the mountain itself, which the people of Crestfall trust more than either. Then comes the long walk back down. The grief happens on the descent.</w:t>
      </w:r>
    </w:p>
    <w:p w14:paraId="6E9EA755" w14:textId="77777777" w:rsidR="00056E7E" w:rsidRPr="000047D3" w:rsidRDefault="00056E7E">
      <w:pPr>
        <w:rPr>
          <w:rFonts w:asciiTheme="minorHAnsi" w:hAnsiTheme="minorHAnsi"/>
          <w:sz w:val="24"/>
          <w:szCs w:val="28"/>
        </w:rPr>
      </w:pPr>
    </w:p>
    <w:p w14:paraId="57866C6D" w14:textId="77777777" w:rsidR="00056E7E" w:rsidRPr="000047D3" w:rsidRDefault="00056E7E">
      <w:pPr>
        <w:rPr>
          <w:rFonts w:asciiTheme="minorHAnsi" w:hAnsiTheme="minorHAnsi"/>
          <w:sz w:val="24"/>
          <w:szCs w:val="28"/>
        </w:rPr>
      </w:pPr>
    </w:p>
    <w:p w14:paraId="2A995FFB" w14:textId="77777777" w:rsidR="000047D3" w:rsidRPr="000047D3" w:rsidRDefault="000047D3">
      <w:pPr>
        <w:spacing w:after="200" w:line="276" w:lineRule="auto"/>
        <w:rPr>
          <w:rFonts w:asciiTheme="minorHAnsi" w:eastAsiaTheme="majorEastAsia" w:hAnsiTheme="minorHAnsi" w:cstheme="majorBidi"/>
          <w:b/>
          <w:bCs/>
          <w:color w:val="FF1C22" w:themeColor="accent1" w:themeShade="BF"/>
          <w:sz w:val="40"/>
          <w:szCs w:val="36"/>
        </w:rPr>
      </w:pPr>
      <w:r w:rsidRPr="000047D3">
        <w:rPr>
          <w:rFonts w:asciiTheme="minorHAnsi" w:hAnsiTheme="minorHAnsi"/>
          <w:sz w:val="24"/>
          <w:szCs w:val="28"/>
        </w:rPr>
        <w:br w:type="page"/>
      </w:r>
    </w:p>
    <w:p w14:paraId="5AFA77E0" w14:textId="2C53EC34" w:rsidR="00056E7E" w:rsidRPr="000047D3" w:rsidRDefault="00827DCE">
      <w:pPr>
        <w:pStyle w:val="Heading1"/>
        <w:rPr>
          <w:rFonts w:asciiTheme="minorHAnsi" w:hAnsiTheme="minorHAnsi"/>
          <w:sz w:val="40"/>
          <w:szCs w:val="36"/>
        </w:rPr>
      </w:pPr>
      <w:r w:rsidRPr="000047D3">
        <w:rPr>
          <w:rFonts w:asciiTheme="minorHAnsi" w:hAnsiTheme="minorHAnsi"/>
          <w:sz w:val="40"/>
          <w:szCs w:val="36"/>
        </w:rPr>
        <w:t>DOMINION XI: DOMINION OF SABLE</w:t>
      </w:r>
    </w:p>
    <w:p w14:paraId="55D5A3E4"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Sable Reach (formerly Phoenix)</w:t>
      </w:r>
    </w:p>
    <w:p w14:paraId="7FFD41A8"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Arizona, Nevada, New Mexico, portions of Utah</w:t>
      </w:r>
    </w:p>
    <w:p w14:paraId="1A4BBC8B"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668CCDE7" w14:textId="77777777" w:rsidR="00056E7E" w:rsidRPr="000047D3" w:rsidRDefault="00827DCE">
      <w:pPr>
        <w:rPr>
          <w:rFonts w:asciiTheme="minorHAnsi" w:hAnsiTheme="minorHAnsi"/>
          <w:sz w:val="24"/>
          <w:szCs w:val="28"/>
        </w:rPr>
      </w:pPr>
      <w:r w:rsidRPr="000047D3">
        <w:rPr>
          <w:rFonts w:asciiTheme="minorHAnsi" w:hAnsiTheme="minorHAnsi"/>
          <w:sz w:val="24"/>
          <w:szCs w:val="28"/>
        </w:rPr>
        <w:t>The desert was always going to resist the Empire the way deserts resist everything: not with force, but by not caring. Sable terrain does not accommodate the kind of infrastructure Imperial surveillance requires. Heat destroys equipment. Sand gets everywhere. Distances between communities make centralized monitoring nearly impossible. Sable Reach is the beautiful Imperial city the Empire maintains as proof that it can reach difficult geography. The desert beyond it is where Ungoverned crossings happen — people moving between Dominions without registration, living in the gaps heat creates. The Empire knows. It still has not stopped it.</w:t>
      </w:r>
    </w:p>
    <w:p w14:paraId="72654F3B"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WEATHER AND LANDSCAPE</w:t>
      </w:r>
    </w:p>
    <w:p w14:paraId="339D870A" w14:textId="77777777" w:rsidR="00056E7E" w:rsidRPr="000047D3" w:rsidRDefault="00827DCE">
      <w:pPr>
        <w:rPr>
          <w:rFonts w:asciiTheme="minorHAnsi" w:hAnsiTheme="minorHAnsi"/>
          <w:sz w:val="24"/>
          <w:szCs w:val="28"/>
        </w:rPr>
      </w:pPr>
      <w:r w:rsidRPr="000047D3">
        <w:rPr>
          <w:rFonts w:asciiTheme="minorHAnsi" w:hAnsiTheme="minorHAnsi"/>
          <w:sz w:val="24"/>
          <w:szCs w:val="28"/>
        </w:rPr>
        <w:t>The Sonoran desert does not negotiate. Summer temperatures are genuinely dangerous, and the body learns adaptation over generations or it does not last. The light in Sable is unreal — colors too saturated, sun too sharp, everything looking slightly more vivid than it should. Saguaros older than the Empire stand like witnesses. Monsoon flash floods come fast and reshape the land overnight. The desert is alive in ways that do not introduce themselves and deadly in ways that do not always look dramatic.</w:t>
      </w:r>
    </w:p>
    <w:p w14:paraId="1D4CC2FA"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24E0A8F2" w14:textId="77777777" w:rsidR="00056E7E" w:rsidRPr="000047D3" w:rsidRDefault="00827DCE">
      <w:pPr>
        <w:rPr>
          <w:rFonts w:asciiTheme="minorHAnsi" w:hAnsiTheme="minorHAnsi"/>
          <w:sz w:val="24"/>
          <w:szCs w:val="28"/>
        </w:rPr>
      </w:pPr>
      <w:r w:rsidRPr="000047D3">
        <w:rPr>
          <w:rFonts w:asciiTheme="minorHAnsi" w:hAnsiTheme="minorHAnsi"/>
          <w:sz w:val="24"/>
          <w:szCs w:val="28"/>
        </w:rPr>
        <w:t>Sable is the most culturally layered Dominion because the desert held civilizations long before the United States existed, and their traces never fully left. The Empire renamed cities. It did not rename the land. Sable Reach has ornate visible Imperial culture because the Empire overcompensated architecturally here, maybe because the landscape refused to be impressed. Underneath, survival lives in land knowledge, plant knowledge, and knowing how to exist somewhere that will kill you if you stop paying attention. Women in outer Sable communities carry desert knowledge the Empire has never catalogued because it never occurred to them to look.</w:t>
      </w:r>
    </w:p>
    <w:p w14:paraId="69434DC4" w14:textId="77777777" w:rsidR="00056E7E" w:rsidRPr="000047D3" w:rsidRDefault="00827DCE">
      <w:pPr>
        <w:rPr>
          <w:rFonts w:asciiTheme="minorHAnsi" w:hAnsiTheme="minorHAnsi"/>
          <w:sz w:val="24"/>
          <w:szCs w:val="28"/>
        </w:rPr>
      </w:pPr>
      <w:r w:rsidRPr="000047D3">
        <w:rPr>
          <w:rFonts w:asciiTheme="minorHAnsi" w:hAnsiTheme="minorHAnsi"/>
          <w:sz w:val="24"/>
          <w:szCs w:val="28"/>
        </w:rPr>
        <w:t>Names are a major preservation vessel. In Sable’s outer communities, two names are normal: one for the Empire, one for the family. The Imperial name lives on paperwork and in public. The desert name lives in the house, spoken by people who love you and kept where the Empire cannot reach. When a woman gives you her desert name, she is giving you something the registration system does not have. Everybody raised there knows what that means.</w:t>
      </w:r>
    </w:p>
    <w:p w14:paraId="08492DA0"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7A68138F" w14:textId="77777777" w:rsidR="00056E7E" w:rsidRPr="000047D3" w:rsidRDefault="00827DCE">
      <w:pPr>
        <w:rPr>
          <w:rFonts w:asciiTheme="minorHAnsi" w:hAnsiTheme="minorHAnsi"/>
          <w:sz w:val="24"/>
          <w:szCs w:val="28"/>
        </w:rPr>
      </w:pPr>
      <w:r w:rsidRPr="000047D3">
        <w:rPr>
          <w:rFonts w:asciiTheme="minorHAnsi" w:hAnsiTheme="minorHAnsi"/>
          <w:sz w:val="24"/>
          <w:szCs w:val="28"/>
        </w:rPr>
        <w:t>In Sable Reach, Bindings happen at dawn, the only part of the day where the desert is soft enough to stand outside without the sun taking over the ceremony. The Empire calls this “climate-adapted ceremonial practice.” In outer communities, marriage is marked by The Desert Walk. The couple spends one night alone in the desert before any ceremony. The community gives water and direction. The desert gives everything else. They return at dawn. Nobody asks what happened out there. That belongs to the couple and the land.</w:t>
      </w:r>
    </w:p>
    <w:p w14:paraId="32DCFCF3"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62E0BF8E" w14:textId="77777777" w:rsidR="00056E7E" w:rsidRPr="000047D3" w:rsidRDefault="00827DCE">
      <w:pPr>
        <w:rPr>
          <w:rFonts w:asciiTheme="minorHAnsi" w:hAnsiTheme="minorHAnsi"/>
          <w:sz w:val="24"/>
          <w:szCs w:val="28"/>
        </w:rPr>
      </w:pPr>
      <w:r w:rsidRPr="000047D3">
        <w:rPr>
          <w:rFonts w:asciiTheme="minorHAnsi" w:hAnsiTheme="minorHAnsi"/>
          <w:sz w:val="24"/>
          <w:szCs w:val="28"/>
        </w:rPr>
        <w:t>At eighteen, Sable girls undergo the standard Designation in Crown administrative buildings in Sable Reach. In outer communities, coming of age is The Finding. A girl is taken to a family site in the desert and left alone from sunset to sunrise. What she brings back — stone, plant, experience, decision — becomes her adult name within the community. Not her Imperial name. Her desert name. The Empire does not know desert names exist.</w:t>
      </w:r>
    </w:p>
    <w:p w14:paraId="1B96B098"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7F017F5F" w14:textId="77777777" w:rsidR="00056E7E" w:rsidRPr="000047D3" w:rsidRDefault="00827DCE">
      <w:pPr>
        <w:rPr>
          <w:rFonts w:asciiTheme="minorHAnsi" w:hAnsiTheme="minorHAnsi"/>
          <w:sz w:val="24"/>
          <w:szCs w:val="28"/>
        </w:rPr>
      </w:pPr>
      <w:r w:rsidRPr="000047D3">
        <w:rPr>
          <w:rFonts w:asciiTheme="minorHAnsi" w:hAnsiTheme="minorHAnsi"/>
          <w:sz w:val="24"/>
          <w:szCs w:val="28"/>
        </w:rPr>
        <w:t>People who watch the Trials closely know two Sable women are worth five from anywhere else, though nobody says that officially. Sable Covenant Daughters arrive with the desert’s education: patience, economy, knowing when to speak and when to wait, reading environments that will kill you if you misread them. The scoring process measures eloquence and theological precision. It does not have a rubric for silence as calculation. What looks like stillness to a Crown advisor is usually movement they are not equipped to see.</w:t>
      </w:r>
    </w:p>
    <w:p w14:paraId="126EE69C"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AND BURIAL</w:t>
      </w:r>
    </w:p>
    <w:p w14:paraId="439198DB" w14:textId="77777777" w:rsidR="00056E7E" w:rsidRPr="000047D3" w:rsidRDefault="00827DCE">
      <w:pPr>
        <w:rPr>
          <w:rFonts w:asciiTheme="minorHAnsi" w:hAnsiTheme="minorHAnsi"/>
          <w:sz w:val="24"/>
          <w:szCs w:val="28"/>
        </w:rPr>
      </w:pPr>
      <w:r w:rsidRPr="000047D3">
        <w:rPr>
          <w:rFonts w:asciiTheme="minorHAnsi" w:hAnsiTheme="minorHAnsi"/>
          <w:sz w:val="24"/>
          <w:szCs w:val="28"/>
        </w:rPr>
        <w:t>Sable returns its dead to the desert as completely as possible — natural burial, no Imperial plaques, no preservation, the body given back in a form the land can use. The ceremony happens at night when the desert is survivable and the stars are total. A fire is lit. The name is said once into the fire. The body goes to ground. The fire burns until it goes out on its own. Nobody extinguishes it. Everyone waits. When the fire is done, the person is done, and the desert takes over.</w:t>
      </w:r>
    </w:p>
    <w:p w14:paraId="08706BCC" w14:textId="77777777" w:rsidR="000047D3" w:rsidRPr="000047D3" w:rsidRDefault="000047D3">
      <w:pPr>
        <w:spacing w:after="200" w:line="276" w:lineRule="auto"/>
        <w:rPr>
          <w:rFonts w:asciiTheme="minorHAnsi" w:eastAsiaTheme="majorEastAsia" w:hAnsiTheme="minorHAnsi" w:cstheme="majorBidi"/>
          <w:b/>
          <w:bCs/>
          <w:color w:val="FF1C22" w:themeColor="accent1" w:themeShade="BF"/>
          <w:sz w:val="40"/>
          <w:szCs w:val="36"/>
        </w:rPr>
      </w:pPr>
      <w:r w:rsidRPr="000047D3">
        <w:rPr>
          <w:rFonts w:asciiTheme="minorHAnsi" w:hAnsiTheme="minorHAnsi"/>
          <w:sz w:val="24"/>
          <w:szCs w:val="28"/>
        </w:rPr>
        <w:br w:type="page"/>
      </w:r>
    </w:p>
    <w:p w14:paraId="430E3D33" w14:textId="5903F8E6" w:rsidR="00056E7E" w:rsidRPr="000047D3" w:rsidRDefault="00827DCE">
      <w:pPr>
        <w:pStyle w:val="Heading1"/>
        <w:rPr>
          <w:rFonts w:asciiTheme="minorHAnsi" w:hAnsiTheme="minorHAnsi"/>
          <w:sz w:val="40"/>
          <w:szCs w:val="36"/>
        </w:rPr>
      </w:pPr>
      <w:r w:rsidRPr="000047D3">
        <w:rPr>
          <w:rFonts w:asciiTheme="minorHAnsi" w:hAnsiTheme="minorHAnsi"/>
          <w:sz w:val="40"/>
          <w:szCs w:val="36"/>
        </w:rPr>
        <w:t>DOMINION XII: PACIFIC DOMINION</w:t>
      </w:r>
    </w:p>
    <w:p w14:paraId="144EA7F8"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Seat: Westhold (formerly Los Angeles)</w:t>
      </w:r>
    </w:p>
    <w:p w14:paraId="288E91CA" w14:textId="77777777" w:rsidR="00056E7E" w:rsidRPr="000047D3" w:rsidRDefault="00827DCE">
      <w:pPr>
        <w:rPr>
          <w:rFonts w:asciiTheme="minorHAnsi" w:hAnsiTheme="minorHAnsi"/>
          <w:sz w:val="24"/>
          <w:szCs w:val="28"/>
        </w:rPr>
      </w:pPr>
      <w:r w:rsidRPr="000047D3">
        <w:rPr>
          <w:rFonts w:asciiTheme="minorHAnsi" w:hAnsiTheme="minorHAnsi"/>
          <w:b/>
          <w:sz w:val="24"/>
          <w:szCs w:val="28"/>
        </w:rPr>
        <w:t>Territory: California, Oregon, portions of Nevada</w:t>
      </w:r>
    </w:p>
    <w:p w14:paraId="2354720F"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HOW IT BECAME WHAT IT IS</w:t>
      </w:r>
    </w:p>
    <w:p w14:paraId="79A87F64" w14:textId="77777777" w:rsidR="00056E7E" w:rsidRPr="000047D3" w:rsidRDefault="00827DCE">
      <w:pPr>
        <w:rPr>
          <w:rFonts w:asciiTheme="minorHAnsi" w:hAnsiTheme="minorHAnsi"/>
          <w:sz w:val="24"/>
          <w:szCs w:val="28"/>
        </w:rPr>
      </w:pPr>
      <w:r w:rsidRPr="000047D3">
        <w:rPr>
          <w:rFonts w:asciiTheme="minorHAnsi" w:hAnsiTheme="minorHAnsi"/>
          <w:sz w:val="24"/>
          <w:szCs w:val="28"/>
        </w:rPr>
        <w:t>Pacific carries the memory of resistance like scar tissue — visible, permanent, and changing how everything around it moves. The two-year standoff between the secession attempt and formal Imperial incorporation created a generation that remembers trying to leave. Their children grew up with parents who tried and failed. Their grandchildren grew up knowing the story. The Empire watches Pacific with a specific intensity: more cameras per block than any other Dominion, more loyalty-focused Broadcast coverage, and a Governor-Prelate personally appointed by Emperor Dorian Vane who performs warmth beautifully while administering iron. Westhold is the Empire’s most surveilled and most restless city. Those two facts are holding hands.</w:t>
      </w:r>
    </w:p>
    <w:p w14:paraId="45B2FDD9"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WEATHER AND LANDSCAPE</w:t>
      </w:r>
    </w:p>
    <w:p w14:paraId="7EC13FA6" w14:textId="77777777" w:rsidR="00056E7E" w:rsidRPr="000047D3" w:rsidRDefault="00827DCE">
      <w:pPr>
        <w:rPr>
          <w:rFonts w:asciiTheme="minorHAnsi" w:hAnsiTheme="minorHAnsi"/>
          <w:sz w:val="24"/>
          <w:szCs w:val="28"/>
        </w:rPr>
      </w:pPr>
      <w:r w:rsidRPr="000047D3">
        <w:rPr>
          <w:rFonts w:asciiTheme="minorHAnsi" w:hAnsiTheme="minorHAnsi"/>
          <w:sz w:val="24"/>
          <w:szCs w:val="28"/>
        </w:rPr>
        <w:t>Los Angeles was always weather as mythology, and Westhold keeps that. Perfect temperature that makes control feel almost reasonable. The Pacific Ocean on one side, vast and indifferent, where people look when they are thinking about somewhere else. Mountains on the other, brown and fire-prone in summer, sometimes snow-capped in winter. The Santa Ana winds come in fall and make everything feel volatile, electric, and a little dangerous. The Empire cannot control Pacific weather, and it shows in the way people relate to the sky — like it is the one thing that still belongs to them.</w:t>
      </w:r>
    </w:p>
    <w:p w14:paraId="4B658CB2"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CULTURE</w:t>
      </w:r>
    </w:p>
    <w:p w14:paraId="11D35C23" w14:textId="77777777" w:rsidR="00056E7E" w:rsidRPr="000047D3" w:rsidRDefault="00827DCE">
      <w:pPr>
        <w:rPr>
          <w:rFonts w:asciiTheme="minorHAnsi" w:hAnsiTheme="minorHAnsi"/>
          <w:sz w:val="24"/>
          <w:szCs w:val="28"/>
        </w:rPr>
      </w:pPr>
      <w:r w:rsidRPr="000047D3">
        <w:rPr>
          <w:rFonts w:asciiTheme="minorHAnsi" w:hAnsiTheme="minorHAnsi"/>
          <w:sz w:val="24"/>
          <w:szCs w:val="28"/>
        </w:rPr>
        <w:t>Westhold has the most sophisticated cultural underground in the Empire because old Los Angeles’s entertainment and creative infrastructure never fully disappeared. It adapted. Film became state-controlled Broadcast content. Music became Temple-approved. Visual art became Empire-commissioned. But the people making those things are descendants of people who made culture for a living, and some of them are still making what they actually want in private and distributing it through networks the Empire cannot map. Pacific Covenant Daughters are watched differently before they arrive. Dominion XII. Monitor closely. They have to outscore everyone else just to be considered equivalent. Some decide to outscore everyone by so much the judgment becomes impossible to sustain.</w:t>
      </w:r>
    </w:p>
    <w:p w14:paraId="4A63F874"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MARRIAGE CUSTOMS</w:t>
      </w:r>
    </w:p>
    <w:p w14:paraId="783F4EE2" w14:textId="77777777" w:rsidR="00056E7E" w:rsidRPr="000047D3" w:rsidRDefault="00827DCE">
      <w:pPr>
        <w:rPr>
          <w:rFonts w:asciiTheme="minorHAnsi" w:hAnsiTheme="minorHAnsi"/>
          <w:sz w:val="24"/>
          <w:szCs w:val="28"/>
        </w:rPr>
      </w:pPr>
      <w:r w:rsidRPr="000047D3">
        <w:rPr>
          <w:rFonts w:asciiTheme="minorHAnsi" w:hAnsiTheme="minorHAnsi"/>
          <w:sz w:val="24"/>
          <w:szCs w:val="28"/>
        </w:rPr>
        <w:t>Westhold Bindings are the most Broadcast-visible in the Empire because the Empire uses them as loyalty performance. Significant marriages are filmed and released to prove the resistant Dominion has been integrated. Families who participate receive material benefits. Some accept. Others maintain The Real Binding, a private ceremony before or after the official one, witnessed only by chosen people. The couple makes the promises they actually intend to keep, not the ones the Empire requires. No paperwork. No Temple. By every measure that matters to the people practicing it, The Real Binding is the marriage.</w:t>
      </w:r>
    </w:p>
    <w:p w14:paraId="451EAB88"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COMING OF AGE</w:t>
      </w:r>
    </w:p>
    <w:p w14:paraId="44A76975" w14:textId="77777777" w:rsidR="00056E7E" w:rsidRPr="000047D3" w:rsidRDefault="00827DCE">
      <w:pPr>
        <w:rPr>
          <w:rFonts w:asciiTheme="minorHAnsi" w:hAnsiTheme="minorHAnsi"/>
          <w:sz w:val="24"/>
          <w:szCs w:val="28"/>
        </w:rPr>
      </w:pPr>
      <w:r w:rsidRPr="000047D3">
        <w:rPr>
          <w:rFonts w:asciiTheme="minorHAnsi" w:hAnsiTheme="minorHAnsi"/>
          <w:sz w:val="24"/>
          <w:szCs w:val="28"/>
        </w:rPr>
        <w:t>Pacific Designation at eighteen is the most politically loaded in the Empire because every Pacific girl’s score is reviewed at Crownward level, not just exceptional scores. They are looking for inherited resistance, patterns of thought, anything that suggests the secession story survived inside the children. Westhold girls are taught early how to take the Designation — not simply how to pass it, but how to pass without revealing themselves. What to show. What to keep. Mothers teach daughters this knowledge as consistently as Meridian Reading Circles and Red Earth Second Covenants. Pacific girls selected for the Trials arrive already trained for being watched, assessed, and read. The Trials add the harder part: learning to watch back.</w:t>
      </w:r>
    </w:p>
    <w:p w14:paraId="4CB1E325"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COVENANT TRIALS</w:t>
      </w:r>
    </w:p>
    <w:p w14:paraId="5F63CFFE" w14:textId="77777777" w:rsidR="00056E7E" w:rsidRPr="000047D3" w:rsidRDefault="00827DCE">
      <w:pPr>
        <w:rPr>
          <w:rFonts w:asciiTheme="minorHAnsi" w:hAnsiTheme="minorHAnsi"/>
          <w:sz w:val="24"/>
          <w:szCs w:val="28"/>
        </w:rPr>
      </w:pPr>
      <w:r w:rsidRPr="000047D3">
        <w:rPr>
          <w:rFonts w:asciiTheme="minorHAnsi" w:hAnsiTheme="minorHAnsi"/>
          <w:sz w:val="24"/>
          <w:szCs w:val="28"/>
        </w:rPr>
        <w:t>Every Pacific Covenant Daughter arrives knowing she was not supposed to be there. The unofficial flag is already in her record. The scoring council already weighs her differently. Her Dominion’s failed secession attempt is in the file before she says a word. Pacific women who make it through Designation and selection have been tested at the level the Trials require before they board the transport. They know how to perform assessment while withholding the self. What the Trials add is pressure and proximity: doing it while watching other women do the same thing in the same room. Pacific candidates are trained to be watched. The ones who last learn how to watch back.</w:t>
      </w:r>
    </w:p>
    <w:p w14:paraId="1179D357" w14:textId="77777777" w:rsidR="00056E7E" w:rsidRPr="000047D3" w:rsidRDefault="00827DCE">
      <w:pPr>
        <w:pStyle w:val="Heading2"/>
        <w:rPr>
          <w:rFonts w:asciiTheme="minorHAnsi" w:hAnsiTheme="minorHAnsi"/>
          <w:sz w:val="32"/>
          <w:szCs w:val="32"/>
        </w:rPr>
      </w:pPr>
      <w:r w:rsidRPr="000047D3">
        <w:rPr>
          <w:rFonts w:asciiTheme="minorHAnsi" w:hAnsiTheme="minorHAnsi"/>
          <w:sz w:val="32"/>
          <w:szCs w:val="32"/>
        </w:rPr>
        <w:t>DEATH AND BURIAL</w:t>
      </w:r>
    </w:p>
    <w:p w14:paraId="09AD67C2" w14:textId="77777777" w:rsidR="00056E7E" w:rsidRPr="000047D3" w:rsidRDefault="00827DCE">
      <w:pPr>
        <w:rPr>
          <w:rFonts w:asciiTheme="minorHAnsi" w:hAnsiTheme="minorHAnsi"/>
          <w:sz w:val="24"/>
          <w:szCs w:val="28"/>
        </w:rPr>
      </w:pPr>
      <w:r w:rsidRPr="000047D3">
        <w:rPr>
          <w:rFonts w:asciiTheme="minorHAnsi" w:hAnsiTheme="minorHAnsi"/>
          <w:sz w:val="24"/>
          <w:szCs w:val="28"/>
        </w:rPr>
        <w:t>Pacific buries its dead facing west. Toward the ocean. Toward the direction of the secession attempt. Toward wherever people go when the Empire is finished with them. The ceremony becomes whatever the family needs it to be. The Empire tried to regulate death practice here in 2067, but the regulations were ignored so consistently they were quietly deprioritized in 2078. The dead face west. The family says what needs saying. The ocean is always audible somewhere, depending on where you are standing, and Westhold people believe the dead can hear it and that it helps them find their way.</w:t>
      </w:r>
    </w:p>
    <w:sectPr w:rsidR="00056E7E" w:rsidRPr="000047D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4D19F" w14:textId="77777777" w:rsidR="003022AA" w:rsidRDefault="003022AA" w:rsidP="000047D3">
      <w:pPr>
        <w:spacing w:after="0" w:line="240" w:lineRule="auto"/>
      </w:pPr>
      <w:r>
        <w:separator/>
      </w:r>
    </w:p>
  </w:endnote>
  <w:endnote w:type="continuationSeparator" w:id="0">
    <w:p w14:paraId="5B91722B" w14:textId="77777777" w:rsidR="003022AA" w:rsidRDefault="003022AA" w:rsidP="00004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289627"/>
      <w:docPartObj>
        <w:docPartGallery w:val="Page Numbers (Bottom of Page)"/>
        <w:docPartUnique/>
      </w:docPartObj>
    </w:sdtPr>
    <w:sdtEndPr>
      <w:rPr>
        <w:noProof/>
      </w:rPr>
    </w:sdtEndPr>
    <w:sdtContent>
      <w:p w14:paraId="5B09EC3D" w14:textId="0CEE0855" w:rsidR="000047D3" w:rsidRDefault="000047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8660C" w14:textId="77777777" w:rsidR="000047D3" w:rsidRDefault="00004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768AB" w14:textId="77777777" w:rsidR="003022AA" w:rsidRDefault="003022AA" w:rsidP="000047D3">
      <w:pPr>
        <w:spacing w:after="0" w:line="240" w:lineRule="auto"/>
      </w:pPr>
      <w:r>
        <w:separator/>
      </w:r>
    </w:p>
  </w:footnote>
  <w:footnote w:type="continuationSeparator" w:id="0">
    <w:p w14:paraId="2C00F5E3" w14:textId="77777777" w:rsidR="003022AA" w:rsidRDefault="003022AA" w:rsidP="00004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8662907">
    <w:abstractNumId w:val="8"/>
  </w:num>
  <w:num w:numId="2" w16cid:durableId="1720786513">
    <w:abstractNumId w:val="6"/>
  </w:num>
  <w:num w:numId="3" w16cid:durableId="216554584">
    <w:abstractNumId w:val="5"/>
  </w:num>
  <w:num w:numId="4" w16cid:durableId="113599007">
    <w:abstractNumId w:val="4"/>
  </w:num>
  <w:num w:numId="5" w16cid:durableId="1798714442">
    <w:abstractNumId w:val="7"/>
  </w:num>
  <w:num w:numId="6" w16cid:durableId="16468760">
    <w:abstractNumId w:val="3"/>
  </w:num>
  <w:num w:numId="7" w16cid:durableId="1525750224">
    <w:abstractNumId w:val="2"/>
  </w:num>
  <w:num w:numId="8" w16cid:durableId="951131386">
    <w:abstractNumId w:val="1"/>
  </w:num>
  <w:num w:numId="9" w16cid:durableId="1029918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D3"/>
    <w:rsid w:val="00034616"/>
    <w:rsid w:val="00056E7E"/>
    <w:rsid w:val="0006063C"/>
    <w:rsid w:val="000E3A9C"/>
    <w:rsid w:val="0015074B"/>
    <w:rsid w:val="0019217C"/>
    <w:rsid w:val="0029639D"/>
    <w:rsid w:val="002C7688"/>
    <w:rsid w:val="00301DE3"/>
    <w:rsid w:val="003022AA"/>
    <w:rsid w:val="00326F90"/>
    <w:rsid w:val="005102FE"/>
    <w:rsid w:val="006633BE"/>
    <w:rsid w:val="00673EEE"/>
    <w:rsid w:val="007C2160"/>
    <w:rsid w:val="007E12A1"/>
    <w:rsid w:val="00827DCE"/>
    <w:rsid w:val="008E36AD"/>
    <w:rsid w:val="00AA1D8D"/>
    <w:rsid w:val="00B47730"/>
    <w:rsid w:val="00CB0664"/>
    <w:rsid w:val="00E15267"/>
    <w:rsid w:val="00E722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0AFED"/>
  <w14:defaultImageDpi w14:val="300"/>
  <w15:docId w15:val="{1C10AD5A-2D5F-4D23-A14E-4BD1CBBEF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F1C22"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F7C80"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F7C80"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F7C8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BC000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BC000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F7C8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F1C22"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F7C8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F7C80" w:themeColor="accent1"/>
    </w:rPr>
  </w:style>
  <w:style w:type="paragraph" w:styleId="Title">
    <w:name w:val="Title"/>
    <w:basedOn w:val="Normal"/>
    <w:next w:val="Normal"/>
    <w:link w:val="TitleChar"/>
    <w:uiPriority w:val="10"/>
    <w:qFormat/>
    <w:rsid w:val="00FC693F"/>
    <w:pPr>
      <w:pBdr>
        <w:bottom w:val="single" w:sz="8" w:space="4" w:color="FF7C80" w:themeColor="accent1"/>
      </w:pBdr>
      <w:spacing w:after="300" w:line="240" w:lineRule="auto"/>
      <w:contextualSpacing/>
    </w:pPr>
    <w:rPr>
      <w:rFonts w:asciiTheme="majorHAnsi" w:eastAsiaTheme="majorEastAsia" w:hAnsiTheme="majorHAnsi" w:cstheme="majorBidi"/>
      <w:color w:val="BF002C"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BF002C"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F7C8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F7C8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F7C8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BC000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BC000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F7C8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F7C8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F7C80" w:themeColor="accent1"/>
      </w:pBdr>
      <w:spacing w:before="200" w:after="280"/>
      <w:ind w:left="936" w:right="936"/>
    </w:pPr>
    <w:rPr>
      <w:b/>
      <w:bCs/>
      <w:i/>
      <w:iCs/>
      <w:color w:val="FF7C80" w:themeColor="accent1"/>
    </w:rPr>
  </w:style>
  <w:style w:type="character" w:customStyle="1" w:styleId="IntenseQuoteChar">
    <w:name w:val="Intense Quote Char"/>
    <w:basedOn w:val="DefaultParagraphFont"/>
    <w:link w:val="IntenseQuote"/>
    <w:uiPriority w:val="30"/>
    <w:rsid w:val="00FC693F"/>
    <w:rPr>
      <w:b/>
      <w:bCs/>
      <w:i/>
      <w:iCs/>
      <w:color w:val="FF7C80"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FF7C80" w:themeColor="accent1"/>
    </w:rPr>
  </w:style>
  <w:style w:type="character" w:styleId="SubtleReference">
    <w:name w:val="Subtle Reference"/>
    <w:basedOn w:val="DefaultParagraphFont"/>
    <w:uiPriority w:val="31"/>
    <w:qFormat/>
    <w:rsid w:val="00FC693F"/>
    <w:rPr>
      <w:smallCaps/>
      <w:color w:val="FF0066" w:themeColor="accent2"/>
      <w:u w:val="single"/>
    </w:rPr>
  </w:style>
  <w:style w:type="character" w:styleId="IntenseReference">
    <w:name w:val="Intense Reference"/>
    <w:basedOn w:val="DefaultParagraphFont"/>
    <w:uiPriority w:val="32"/>
    <w:qFormat/>
    <w:rsid w:val="00FC693F"/>
    <w:rPr>
      <w:b/>
      <w:bCs/>
      <w:smallCaps/>
      <w:color w:val="FF0066"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FF1C22" w:themeColor="accent1" w:themeShade="BF"/>
    </w:rPr>
    <w:tblPr>
      <w:tblStyleRowBandSize w:val="1"/>
      <w:tblStyleColBandSize w:val="1"/>
      <w:tblBorders>
        <w:top w:val="single" w:sz="8" w:space="0" w:color="FF7C80" w:themeColor="accent1"/>
        <w:bottom w:val="single" w:sz="8" w:space="0" w:color="FF7C80" w:themeColor="accent1"/>
      </w:tblBorders>
    </w:tblPr>
    <w:tblStylePr w:type="firstRow">
      <w:pPr>
        <w:spacing w:before="0" w:after="0" w:line="240" w:lineRule="auto"/>
      </w:pPr>
      <w:rPr>
        <w:b/>
        <w:bCs/>
      </w:rPr>
      <w:tblPr/>
      <w:tcPr>
        <w:tcBorders>
          <w:top w:val="single" w:sz="8" w:space="0" w:color="FF7C80" w:themeColor="accent1"/>
          <w:left w:val="nil"/>
          <w:bottom w:val="single" w:sz="8" w:space="0" w:color="FF7C80" w:themeColor="accent1"/>
          <w:right w:val="nil"/>
          <w:insideH w:val="nil"/>
          <w:insideV w:val="nil"/>
        </w:tcBorders>
      </w:tcPr>
    </w:tblStylePr>
    <w:tblStylePr w:type="lastRow">
      <w:pPr>
        <w:spacing w:before="0" w:after="0" w:line="240" w:lineRule="auto"/>
      </w:pPr>
      <w:rPr>
        <w:b/>
        <w:bCs/>
      </w:rPr>
      <w:tblPr/>
      <w:tcPr>
        <w:tcBorders>
          <w:top w:val="single" w:sz="8" w:space="0" w:color="FF7C80" w:themeColor="accent1"/>
          <w:left w:val="nil"/>
          <w:bottom w:val="single" w:sz="8" w:space="0" w:color="FF7C8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DF" w:themeFill="accent1" w:themeFillTint="3F"/>
      </w:tcPr>
    </w:tblStylePr>
    <w:tblStylePr w:type="band1Horz">
      <w:tblPr/>
      <w:tcPr>
        <w:tcBorders>
          <w:left w:val="nil"/>
          <w:right w:val="nil"/>
          <w:insideH w:val="nil"/>
          <w:insideV w:val="nil"/>
        </w:tcBorders>
        <w:shd w:val="clear" w:color="auto" w:fill="FFDEDF" w:themeFill="accent1" w:themeFillTint="3F"/>
      </w:tcPr>
    </w:tblStylePr>
  </w:style>
  <w:style w:type="table" w:styleId="LightShading-Accent2">
    <w:name w:val="Light Shading Accent 2"/>
    <w:basedOn w:val="TableNormal"/>
    <w:uiPriority w:val="60"/>
    <w:rsid w:val="00FC693F"/>
    <w:pPr>
      <w:spacing w:after="0" w:line="240" w:lineRule="auto"/>
    </w:pPr>
    <w:rPr>
      <w:color w:val="BF004C" w:themeColor="accent2" w:themeShade="BF"/>
    </w:rPr>
    <w:tblPr>
      <w:tblStyleRowBandSize w:val="1"/>
      <w:tblStyleColBandSize w:val="1"/>
      <w:tblBorders>
        <w:top w:val="single" w:sz="8" w:space="0" w:color="FF0066" w:themeColor="accent2"/>
        <w:bottom w:val="single" w:sz="8" w:space="0" w:color="FF0066" w:themeColor="accent2"/>
      </w:tblBorders>
    </w:tblPr>
    <w:tblStylePr w:type="firstRow">
      <w:pPr>
        <w:spacing w:before="0" w:after="0" w:line="240" w:lineRule="auto"/>
      </w:pPr>
      <w:rPr>
        <w:b/>
        <w:bCs/>
      </w:rPr>
      <w:tblPr/>
      <w:tcPr>
        <w:tcBorders>
          <w:top w:val="single" w:sz="8" w:space="0" w:color="FF0066" w:themeColor="accent2"/>
          <w:left w:val="nil"/>
          <w:bottom w:val="single" w:sz="8" w:space="0" w:color="FF0066" w:themeColor="accent2"/>
          <w:right w:val="nil"/>
          <w:insideH w:val="nil"/>
          <w:insideV w:val="nil"/>
        </w:tcBorders>
      </w:tcPr>
    </w:tblStylePr>
    <w:tblStylePr w:type="lastRow">
      <w:pPr>
        <w:spacing w:before="0" w:after="0" w:line="240" w:lineRule="auto"/>
      </w:pPr>
      <w:rPr>
        <w:b/>
        <w:bCs/>
      </w:rPr>
      <w:tblPr/>
      <w:tcPr>
        <w:tcBorders>
          <w:top w:val="single" w:sz="8" w:space="0" w:color="FF0066" w:themeColor="accent2"/>
          <w:left w:val="nil"/>
          <w:bottom w:val="single" w:sz="8" w:space="0" w:color="FF006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D9" w:themeFill="accent2" w:themeFillTint="3F"/>
      </w:tcPr>
    </w:tblStylePr>
    <w:tblStylePr w:type="band1Horz">
      <w:tblPr/>
      <w:tcPr>
        <w:tcBorders>
          <w:left w:val="nil"/>
          <w:right w:val="nil"/>
          <w:insideH w:val="nil"/>
          <w:insideV w:val="nil"/>
        </w:tcBorders>
        <w:shd w:val="clear" w:color="auto" w:fill="FFC0D9" w:themeFill="accent2" w:themeFillTint="3F"/>
      </w:tcPr>
    </w:tblStylePr>
  </w:style>
  <w:style w:type="table" w:styleId="LightShading-Accent3">
    <w:name w:val="Light Shading Accent 3"/>
    <w:basedOn w:val="TableNormal"/>
    <w:uiPriority w:val="60"/>
    <w:rsid w:val="00FC693F"/>
    <w:pPr>
      <w:spacing w:after="0" w:line="240" w:lineRule="auto"/>
    </w:pPr>
    <w:rPr>
      <w:color w:val="69DA79" w:themeColor="accent3" w:themeShade="BF"/>
    </w:rPr>
    <w:tblPr>
      <w:tblStyleRowBandSize w:val="1"/>
      <w:tblStyleColBandSize w:val="1"/>
      <w:tblBorders>
        <w:top w:val="single" w:sz="8" w:space="0" w:color="C1F0C8" w:themeColor="accent3"/>
        <w:bottom w:val="single" w:sz="8" w:space="0" w:color="C1F0C8" w:themeColor="accent3"/>
      </w:tblBorders>
    </w:tblPr>
    <w:tblStylePr w:type="firstRow">
      <w:pPr>
        <w:spacing w:before="0" w:after="0" w:line="240" w:lineRule="auto"/>
      </w:pPr>
      <w:rPr>
        <w:b/>
        <w:bCs/>
      </w:rPr>
      <w:tblPr/>
      <w:tcPr>
        <w:tcBorders>
          <w:top w:val="single" w:sz="8" w:space="0" w:color="C1F0C8" w:themeColor="accent3"/>
          <w:left w:val="nil"/>
          <w:bottom w:val="single" w:sz="8" w:space="0" w:color="C1F0C8" w:themeColor="accent3"/>
          <w:right w:val="nil"/>
          <w:insideH w:val="nil"/>
          <w:insideV w:val="nil"/>
        </w:tcBorders>
      </w:tcPr>
    </w:tblStylePr>
    <w:tblStylePr w:type="lastRow">
      <w:pPr>
        <w:spacing w:before="0" w:after="0" w:line="240" w:lineRule="auto"/>
      </w:pPr>
      <w:rPr>
        <w:b/>
        <w:bCs/>
      </w:rPr>
      <w:tblPr/>
      <w:tcPr>
        <w:tcBorders>
          <w:top w:val="single" w:sz="8" w:space="0" w:color="C1F0C8" w:themeColor="accent3"/>
          <w:left w:val="nil"/>
          <w:bottom w:val="single" w:sz="8" w:space="0" w:color="C1F0C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BF1" w:themeFill="accent3" w:themeFillTint="3F"/>
      </w:tcPr>
    </w:tblStylePr>
    <w:tblStylePr w:type="band1Horz">
      <w:tblPr/>
      <w:tcPr>
        <w:tcBorders>
          <w:left w:val="nil"/>
          <w:right w:val="nil"/>
          <w:insideH w:val="nil"/>
          <w:insideV w:val="nil"/>
        </w:tcBorders>
        <w:shd w:val="clear" w:color="auto" w:fill="EFFBF1" w:themeFill="accent3" w:themeFillTint="3F"/>
      </w:tcPr>
    </w:tblStylePr>
  </w:style>
  <w:style w:type="table" w:styleId="LightShading-Accent4">
    <w:name w:val="Light Shading Accent 4"/>
    <w:basedOn w:val="TableNormal"/>
    <w:uiPriority w:val="60"/>
    <w:rsid w:val="00FC693F"/>
    <w:pPr>
      <w:spacing w:after="0" w:line="240" w:lineRule="auto"/>
    </w:pPr>
    <w:rPr>
      <w:color w:val="6DA92D" w:themeColor="accent4" w:themeShade="BF"/>
    </w:rPr>
    <w:tblPr>
      <w:tblStyleRowBandSize w:val="1"/>
      <w:tblStyleColBandSize w:val="1"/>
      <w:tblBorders>
        <w:top w:val="single" w:sz="8" w:space="0" w:color="92D050" w:themeColor="accent4"/>
        <w:bottom w:val="single" w:sz="8" w:space="0" w:color="92D050" w:themeColor="accent4"/>
      </w:tblBorders>
    </w:tblPr>
    <w:tblStylePr w:type="firstRow">
      <w:pPr>
        <w:spacing w:before="0" w:after="0" w:line="240" w:lineRule="auto"/>
      </w:pPr>
      <w:rPr>
        <w:b/>
        <w:bCs/>
      </w:rPr>
      <w:tblPr/>
      <w:tcPr>
        <w:tcBorders>
          <w:top w:val="single" w:sz="8" w:space="0" w:color="92D050" w:themeColor="accent4"/>
          <w:left w:val="nil"/>
          <w:bottom w:val="single" w:sz="8" w:space="0" w:color="92D050" w:themeColor="accent4"/>
          <w:right w:val="nil"/>
          <w:insideH w:val="nil"/>
          <w:insideV w:val="nil"/>
        </w:tcBorders>
      </w:tcPr>
    </w:tblStylePr>
    <w:tblStylePr w:type="lastRow">
      <w:pPr>
        <w:spacing w:before="0" w:after="0" w:line="240" w:lineRule="auto"/>
      </w:pPr>
      <w:rPr>
        <w:b/>
        <w:bCs/>
      </w:rPr>
      <w:tblPr/>
      <w:tcPr>
        <w:tcBorders>
          <w:top w:val="single" w:sz="8" w:space="0" w:color="92D050" w:themeColor="accent4"/>
          <w:left w:val="nil"/>
          <w:bottom w:val="single" w:sz="8" w:space="0" w:color="92D05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F3D3" w:themeFill="accent4" w:themeFillTint="3F"/>
      </w:tcPr>
    </w:tblStylePr>
    <w:tblStylePr w:type="band1Horz">
      <w:tblPr/>
      <w:tcPr>
        <w:tcBorders>
          <w:left w:val="nil"/>
          <w:right w:val="nil"/>
          <w:insideH w:val="nil"/>
          <w:insideV w:val="nil"/>
        </w:tcBorders>
        <w:shd w:val="clear" w:color="auto" w:fill="E3F3D3" w:themeFill="accent4" w:themeFillTint="3F"/>
      </w:tcPr>
    </w:tblStylePr>
  </w:style>
  <w:style w:type="table" w:styleId="LightShading-Accent5">
    <w:name w:val="Light Shading Accent 5"/>
    <w:basedOn w:val="TableNormal"/>
    <w:uiPriority w:val="60"/>
    <w:rsid w:val="00FC693F"/>
    <w:pPr>
      <w:spacing w:after="0" w:line="240" w:lineRule="auto"/>
    </w:pPr>
    <w:rPr>
      <w:color w:val="E50072" w:themeColor="accent5" w:themeShade="BF"/>
    </w:rPr>
    <w:tblPr>
      <w:tblStyleRowBandSize w:val="1"/>
      <w:tblStyleColBandSize w:val="1"/>
      <w:tblBorders>
        <w:top w:val="single" w:sz="8" w:space="0" w:color="FF3399" w:themeColor="accent5"/>
        <w:bottom w:val="single" w:sz="8" w:space="0" w:color="FF3399" w:themeColor="accent5"/>
      </w:tblBorders>
    </w:tblPr>
    <w:tblStylePr w:type="firstRow">
      <w:pPr>
        <w:spacing w:before="0" w:after="0" w:line="240" w:lineRule="auto"/>
      </w:pPr>
      <w:rPr>
        <w:b/>
        <w:bCs/>
      </w:rPr>
      <w:tblPr/>
      <w:tcPr>
        <w:tcBorders>
          <w:top w:val="single" w:sz="8" w:space="0" w:color="FF3399" w:themeColor="accent5"/>
          <w:left w:val="nil"/>
          <w:bottom w:val="single" w:sz="8" w:space="0" w:color="FF3399" w:themeColor="accent5"/>
          <w:right w:val="nil"/>
          <w:insideH w:val="nil"/>
          <w:insideV w:val="nil"/>
        </w:tcBorders>
      </w:tcPr>
    </w:tblStylePr>
    <w:tblStylePr w:type="lastRow">
      <w:pPr>
        <w:spacing w:before="0" w:after="0" w:line="240" w:lineRule="auto"/>
      </w:pPr>
      <w:rPr>
        <w:b/>
        <w:bCs/>
      </w:rPr>
      <w:tblPr/>
      <w:tcPr>
        <w:tcBorders>
          <w:top w:val="single" w:sz="8" w:space="0" w:color="FF3399" w:themeColor="accent5"/>
          <w:left w:val="nil"/>
          <w:bottom w:val="single" w:sz="8" w:space="0" w:color="FF339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E5" w:themeFill="accent5" w:themeFillTint="3F"/>
      </w:tcPr>
    </w:tblStylePr>
    <w:tblStylePr w:type="band1Horz">
      <w:tblPr/>
      <w:tcPr>
        <w:tcBorders>
          <w:left w:val="nil"/>
          <w:right w:val="nil"/>
          <w:insideH w:val="nil"/>
          <w:insideV w:val="nil"/>
        </w:tcBorders>
        <w:shd w:val="clear" w:color="auto" w:fill="FFCCE5"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F7C80" w:themeColor="accent1"/>
        <w:left w:val="single" w:sz="8" w:space="0" w:color="FF7C80" w:themeColor="accent1"/>
        <w:bottom w:val="single" w:sz="8" w:space="0" w:color="FF7C80" w:themeColor="accent1"/>
        <w:right w:val="single" w:sz="8" w:space="0" w:color="FF7C80" w:themeColor="accent1"/>
      </w:tblBorders>
    </w:tblPr>
    <w:tblStylePr w:type="firstRow">
      <w:pPr>
        <w:spacing w:before="0" w:after="0" w:line="240" w:lineRule="auto"/>
      </w:pPr>
      <w:rPr>
        <w:b/>
        <w:bCs/>
        <w:color w:val="FFFFFF" w:themeColor="background1"/>
      </w:rPr>
      <w:tblPr/>
      <w:tcPr>
        <w:shd w:val="clear" w:color="auto" w:fill="FF7C80" w:themeFill="accent1"/>
      </w:tcPr>
    </w:tblStylePr>
    <w:tblStylePr w:type="lastRow">
      <w:pPr>
        <w:spacing w:before="0" w:after="0" w:line="240" w:lineRule="auto"/>
      </w:pPr>
      <w:rPr>
        <w:b/>
        <w:bCs/>
      </w:rPr>
      <w:tblPr/>
      <w:tcPr>
        <w:tcBorders>
          <w:top w:val="double" w:sz="6" w:space="0" w:color="FF7C80" w:themeColor="accent1"/>
          <w:left w:val="single" w:sz="8" w:space="0" w:color="FF7C80" w:themeColor="accent1"/>
          <w:bottom w:val="single" w:sz="8" w:space="0" w:color="FF7C80" w:themeColor="accent1"/>
          <w:right w:val="single" w:sz="8" w:space="0" w:color="FF7C80" w:themeColor="accent1"/>
        </w:tcBorders>
      </w:tcPr>
    </w:tblStylePr>
    <w:tblStylePr w:type="firstCol">
      <w:rPr>
        <w:b/>
        <w:bCs/>
      </w:rPr>
    </w:tblStylePr>
    <w:tblStylePr w:type="lastCol">
      <w:rPr>
        <w:b/>
        <w:bCs/>
      </w:rPr>
    </w:tblStylePr>
    <w:tblStylePr w:type="band1Vert">
      <w:tblPr/>
      <w:tcPr>
        <w:tcBorders>
          <w:top w:val="single" w:sz="8" w:space="0" w:color="FF7C80" w:themeColor="accent1"/>
          <w:left w:val="single" w:sz="8" w:space="0" w:color="FF7C80" w:themeColor="accent1"/>
          <w:bottom w:val="single" w:sz="8" w:space="0" w:color="FF7C80" w:themeColor="accent1"/>
          <w:right w:val="single" w:sz="8" w:space="0" w:color="FF7C80" w:themeColor="accent1"/>
        </w:tcBorders>
      </w:tcPr>
    </w:tblStylePr>
    <w:tblStylePr w:type="band1Horz">
      <w:tblPr/>
      <w:tcPr>
        <w:tcBorders>
          <w:top w:val="single" w:sz="8" w:space="0" w:color="FF7C80" w:themeColor="accent1"/>
          <w:left w:val="single" w:sz="8" w:space="0" w:color="FF7C80" w:themeColor="accent1"/>
          <w:bottom w:val="single" w:sz="8" w:space="0" w:color="FF7C80" w:themeColor="accent1"/>
          <w:right w:val="single" w:sz="8" w:space="0" w:color="FF7C8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FF0066" w:themeColor="accent2"/>
        <w:left w:val="single" w:sz="8" w:space="0" w:color="FF0066" w:themeColor="accent2"/>
        <w:bottom w:val="single" w:sz="8" w:space="0" w:color="FF0066" w:themeColor="accent2"/>
        <w:right w:val="single" w:sz="8" w:space="0" w:color="FF0066" w:themeColor="accent2"/>
      </w:tblBorders>
    </w:tblPr>
    <w:tblStylePr w:type="firstRow">
      <w:pPr>
        <w:spacing w:before="0" w:after="0" w:line="240" w:lineRule="auto"/>
      </w:pPr>
      <w:rPr>
        <w:b/>
        <w:bCs/>
        <w:color w:val="FFFFFF" w:themeColor="background1"/>
      </w:rPr>
      <w:tblPr/>
      <w:tcPr>
        <w:shd w:val="clear" w:color="auto" w:fill="FF0066" w:themeFill="accent2"/>
      </w:tcPr>
    </w:tblStylePr>
    <w:tblStylePr w:type="lastRow">
      <w:pPr>
        <w:spacing w:before="0" w:after="0" w:line="240" w:lineRule="auto"/>
      </w:pPr>
      <w:rPr>
        <w:b/>
        <w:bCs/>
      </w:rPr>
      <w:tblPr/>
      <w:tcPr>
        <w:tcBorders>
          <w:top w:val="double" w:sz="6" w:space="0" w:color="FF0066" w:themeColor="accent2"/>
          <w:left w:val="single" w:sz="8" w:space="0" w:color="FF0066" w:themeColor="accent2"/>
          <w:bottom w:val="single" w:sz="8" w:space="0" w:color="FF0066" w:themeColor="accent2"/>
          <w:right w:val="single" w:sz="8" w:space="0" w:color="FF0066" w:themeColor="accent2"/>
        </w:tcBorders>
      </w:tcPr>
    </w:tblStylePr>
    <w:tblStylePr w:type="firstCol">
      <w:rPr>
        <w:b/>
        <w:bCs/>
      </w:rPr>
    </w:tblStylePr>
    <w:tblStylePr w:type="lastCol">
      <w:rPr>
        <w:b/>
        <w:bCs/>
      </w:rPr>
    </w:tblStylePr>
    <w:tblStylePr w:type="band1Vert">
      <w:tblPr/>
      <w:tcPr>
        <w:tcBorders>
          <w:top w:val="single" w:sz="8" w:space="0" w:color="FF0066" w:themeColor="accent2"/>
          <w:left w:val="single" w:sz="8" w:space="0" w:color="FF0066" w:themeColor="accent2"/>
          <w:bottom w:val="single" w:sz="8" w:space="0" w:color="FF0066" w:themeColor="accent2"/>
          <w:right w:val="single" w:sz="8" w:space="0" w:color="FF0066" w:themeColor="accent2"/>
        </w:tcBorders>
      </w:tcPr>
    </w:tblStylePr>
    <w:tblStylePr w:type="band1Horz">
      <w:tblPr/>
      <w:tcPr>
        <w:tcBorders>
          <w:top w:val="single" w:sz="8" w:space="0" w:color="FF0066" w:themeColor="accent2"/>
          <w:left w:val="single" w:sz="8" w:space="0" w:color="FF0066" w:themeColor="accent2"/>
          <w:bottom w:val="single" w:sz="8" w:space="0" w:color="FF0066" w:themeColor="accent2"/>
          <w:right w:val="single" w:sz="8" w:space="0" w:color="FF006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C1F0C8" w:themeColor="accent3"/>
        <w:left w:val="single" w:sz="8" w:space="0" w:color="C1F0C8" w:themeColor="accent3"/>
        <w:bottom w:val="single" w:sz="8" w:space="0" w:color="C1F0C8" w:themeColor="accent3"/>
        <w:right w:val="single" w:sz="8" w:space="0" w:color="C1F0C8" w:themeColor="accent3"/>
      </w:tblBorders>
    </w:tblPr>
    <w:tblStylePr w:type="firstRow">
      <w:pPr>
        <w:spacing w:before="0" w:after="0" w:line="240" w:lineRule="auto"/>
      </w:pPr>
      <w:rPr>
        <w:b/>
        <w:bCs/>
        <w:color w:val="FFFFFF" w:themeColor="background1"/>
      </w:rPr>
      <w:tblPr/>
      <w:tcPr>
        <w:shd w:val="clear" w:color="auto" w:fill="C1F0C8" w:themeFill="accent3"/>
      </w:tcPr>
    </w:tblStylePr>
    <w:tblStylePr w:type="lastRow">
      <w:pPr>
        <w:spacing w:before="0" w:after="0" w:line="240" w:lineRule="auto"/>
      </w:pPr>
      <w:rPr>
        <w:b/>
        <w:bCs/>
      </w:rPr>
      <w:tblPr/>
      <w:tcPr>
        <w:tcBorders>
          <w:top w:val="double" w:sz="6" w:space="0" w:color="C1F0C8" w:themeColor="accent3"/>
          <w:left w:val="single" w:sz="8" w:space="0" w:color="C1F0C8" w:themeColor="accent3"/>
          <w:bottom w:val="single" w:sz="8" w:space="0" w:color="C1F0C8" w:themeColor="accent3"/>
          <w:right w:val="single" w:sz="8" w:space="0" w:color="C1F0C8" w:themeColor="accent3"/>
        </w:tcBorders>
      </w:tcPr>
    </w:tblStylePr>
    <w:tblStylePr w:type="firstCol">
      <w:rPr>
        <w:b/>
        <w:bCs/>
      </w:rPr>
    </w:tblStylePr>
    <w:tblStylePr w:type="lastCol">
      <w:rPr>
        <w:b/>
        <w:bCs/>
      </w:rPr>
    </w:tblStylePr>
    <w:tblStylePr w:type="band1Vert">
      <w:tblPr/>
      <w:tcPr>
        <w:tcBorders>
          <w:top w:val="single" w:sz="8" w:space="0" w:color="C1F0C8" w:themeColor="accent3"/>
          <w:left w:val="single" w:sz="8" w:space="0" w:color="C1F0C8" w:themeColor="accent3"/>
          <w:bottom w:val="single" w:sz="8" w:space="0" w:color="C1F0C8" w:themeColor="accent3"/>
          <w:right w:val="single" w:sz="8" w:space="0" w:color="C1F0C8" w:themeColor="accent3"/>
        </w:tcBorders>
      </w:tcPr>
    </w:tblStylePr>
    <w:tblStylePr w:type="band1Horz">
      <w:tblPr/>
      <w:tcPr>
        <w:tcBorders>
          <w:top w:val="single" w:sz="8" w:space="0" w:color="C1F0C8" w:themeColor="accent3"/>
          <w:left w:val="single" w:sz="8" w:space="0" w:color="C1F0C8" w:themeColor="accent3"/>
          <w:bottom w:val="single" w:sz="8" w:space="0" w:color="C1F0C8" w:themeColor="accent3"/>
          <w:right w:val="single" w:sz="8" w:space="0" w:color="C1F0C8"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92D050" w:themeColor="accent4"/>
        <w:left w:val="single" w:sz="8" w:space="0" w:color="92D050" w:themeColor="accent4"/>
        <w:bottom w:val="single" w:sz="8" w:space="0" w:color="92D050" w:themeColor="accent4"/>
        <w:right w:val="single" w:sz="8" w:space="0" w:color="92D050" w:themeColor="accent4"/>
      </w:tblBorders>
    </w:tblPr>
    <w:tblStylePr w:type="firstRow">
      <w:pPr>
        <w:spacing w:before="0" w:after="0" w:line="240" w:lineRule="auto"/>
      </w:pPr>
      <w:rPr>
        <w:b/>
        <w:bCs/>
        <w:color w:val="FFFFFF" w:themeColor="background1"/>
      </w:rPr>
      <w:tblPr/>
      <w:tcPr>
        <w:shd w:val="clear" w:color="auto" w:fill="92D050" w:themeFill="accent4"/>
      </w:tcPr>
    </w:tblStylePr>
    <w:tblStylePr w:type="lastRow">
      <w:pPr>
        <w:spacing w:before="0" w:after="0" w:line="240" w:lineRule="auto"/>
      </w:pPr>
      <w:rPr>
        <w:b/>
        <w:bCs/>
      </w:rPr>
      <w:tblPr/>
      <w:tcPr>
        <w:tcBorders>
          <w:top w:val="double" w:sz="6" w:space="0" w:color="92D050" w:themeColor="accent4"/>
          <w:left w:val="single" w:sz="8" w:space="0" w:color="92D050" w:themeColor="accent4"/>
          <w:bottom w:val="single" w:sz="8" w:space="0" w:color="92D050" w:themeColor="accent4"/>
          <w:right w:val="single" w:sz="8" w:space="0" w:color="92D050" w:themeColor="accent4"/>
        </w:tcBorders>
      </w:tcPr>
    </w:tblStylePr>
    <w:tblStylePr w:type="firstCol">
      <w:rPr>
        <w:b/>
        <w:bCs/>
      </w:rPr>
    </w:tblStylePr>
    <w:tblStylePr w:type="lastCol">
      <w:rPr>
        <w:b/>
        <w:bCs/>
      </w:rPr>
    </w:tblStylePr>
    <w:tblStylePr w:type="band1Vert">
      <w:tblPr/>
      <w:tcPr>
        <w:tcBorders>
          <w:top w:val="single" w:sz="8" w:space="0" w:color="92D050" w:themeColor="accent4"/>
          <w:left w:val="single" w:sz="8" w:space="0" w:color="92D050" w:themeColor="accent4"/>
          <w:bottom w:val="single" w:sz="8" w:space="0" w:color="92D050" w:themeColor="accent4"/>
          <w:right w:val="single" w:sz="8" w:space="0" w:color="92D050" w:themeColor="accent4"/>
        </w:tcBorders>
      </w:tcPr>
    </w:tblStylePr>
    <w:tblStylePr w:type="band1Horz">
      <w:tblPr/>
      <w:tcPr>
        <w:tcBorders>
          <w:top w:val="single" w:sz="8" w:space="0" w:color="92D050" w:themeColor="accent4"/>
          <w:left w:val="single" w:sz="8" w:space="0" w:color="92D050" w:themeColor="accent4"/>
          <w:bottom w:val="single" w:sz="8" w:space="0" w:color="92D050" w:themeColor="accent4"/>
          <w:right w:val="single" w:sz="8" w:space="0" w:color="92D05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F3399" w:themeColor="accent5"/>
        <w:left w:val="single" w:sz="8" w:space="0" w:color="FF3399" w:themeColor="accent5"/>
        <w:bottom w:val="single" w:sz="8" w:space="0" w:color="FF3399" w:themeColor="accent5"/>
        <w:right w:val="single" w:sz="8" w:space="0" w:color="FF3399" w:themeColor="accent5"/>
      </w:tblBorders>
    </w:tblPr>
    <w:tblStylePr w:type="firstRow">
      <w:pPr>
        <w:spacing w:before="0" w:after="0" w:line="240" w:lineRule="auto"/>
      </w:pPr>
      <w:rPr>
        <w:b/>
        <w:bCs/>
        <w:color w:val="FFFFFF" w:themeColor="background1"/>
      </w:rPr>
      <w:tblPr/>
      <w:tcPr>
        <w:shd w:val="clear" w:color="auto" w:fill="FF3399" w:themeFill="accent5"/>
      </w:tcPr>
    </w:tblStylePr>
    <w:tblStylePr w:type="lastRow">
      <w:pPr>
        <w:spacing w:before="0" w:after="0" w:line="240" w:lineRule="auto"/>
      </w:pPr>
      <w:rPr>
        <w:b/>
        <w:bCs/>
      </w:rPr>
      <w:tblPr/>
      <w:tcPr>
        <w:tcBorders>
          <w:top w:val="double" w:sz="6" w:space="0" w:color="FF3399" w:themeColor="accent5"/>
          <w:left w:val="single" w:sz="8" w:space="0" w:color="FF3399" w:themeColor="accent5"/>
          <w:bottom w:val="single" w:sz="8" w:space="0" w:color="FF3399" w:themeColor="accent5"/>
          <w:right w:val="single" w:sz="8" w:space="0" w:color="FF3399" w:themeColor="accent5"/>
        </w:tcBorders>
      </w:tcPr>
    </w:tblStylePr>
    <w:tblStylePr w:type="firstCol">
      <w:rPr>
        <w:b/>
        <w:bCs/>
      </w:rPr>
    </w:tblStylePr>
    <w:tblStylePr w:type="lastCol">
      <w:rPr>
        <w:b/>
        <w:bCs/>
      </w:rPr>
    </w:tblStylePr>
    <w:tblStylePr w:type="band1Vert">
      <w:tblPr/>
      <w:tcPr>
        <w:tcBorders>
          <w:top w:val="single" w:sz="8" w:space="0" w:color="FF3399" w:themeColor="accent5"/>
          <w:left w:val="single" w:sz="8" w:space="0" w:color="FF3399" w:themeColor="accent5"/>
          <w:bottom w:val="single" w:sz="8" w:space="0" w:color="FF3399" w:themeColor="accent5"/>
          <w:right w:val="single" w:sz="8" w:space="0" w:color="FF3399" w:themeColor="accent5"/>
        </w:tcBorders>
      </w:tcPr>
    </w:tblStylePr>
    <w:tblStylePr w:type="band1Horz">
      <w:tblPr/>
      <w:tcPr>
        <w:tcBorders>
          <w:top w:val="single" w:sz="8" w:space="0" w:color="FF3399" w:themeColor="accent5"/>
          <w:left w:val="single" w:sz="8" w:space="0" w:color="FF3399" w:themeColor="accent5"/>
          <w:bottom w:val="single" w:sz="8" w:space="0" w:color="FF3399" w:themeColor="accent5"/>
          <w:right w:val="single" w:sz="8" w:space="0" w:color="FF3399"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F7C80" w:themeColor="accent1"/>
        <w:left w:val="single" w:sz="8" w:space="0" w:color="FF7C80" w:themeColor="accent1"/>
        <w:bottom w:val="single" w:sz="8" w:space="0" w:color="FF7C80" w:themeColor="accent1"/>
        <w:right w:val="single" w:sz="8" w:space="0" w:color="FF7C80" w:themeColor="accent1"/>
        <w:insideH w:val="single" w:sz="8" w:space="0" w:color="FF7C80" w:themeColor="accent1"/>
        <w:insideV w:val="single" w:sz="8" w:space="0" w:color="FF7C8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C80" w:themeColor="accent1"/>
          <w:left w:val="single" w:sz="8" w:space="0" w:color="FF7C80" w:themeColor="accent1"/>
          <w:bottom w:val="single" w:sz="18" w:space="0" w:color="FF7C80" w:themeColor="accent1"/>
          <w:right w:val="single" w:sz="8" w:space="0" w:color="FF7C80" w:themeColor="accent1"/>
          <w:insideH w:val="nil"/>
          <w:insideV w:val="single" w:sz="8" w:space="0" w:color="FF7C8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C80" w:themeColor="accent1"/>
          <w:left w:val="single" w:sz="8" w:space="0" w:color="FF7C80" w:themeColor="accent1"/>
          <w:bottom w:val="single" w:sz="8" w:space="0" w:color="FF7C80" w:themeColor="accent1"/>
          <w:right w:val="single" w:sz="8" w:space="0" w:color="FF7C80" w:themeColor="accent1"/>
          <w:insideH w:val="nil"/>
          <w:insideV w:val="single" w:sz="8" w:space="0" w:color="FF7C8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C80" w:themeColor="accent1"/>
          <w:left w:val="single" w:sz="8" w:space="0" w:color="FF7C80" w:themeColor="accent1"/>
          <w:bottom w:val="single" w:sz="8" w:space="0" w:color="FF7C80" w:themeColor="accent1"/>
          <w:right w:val="single" w:sz="8" w:space="0" w:color="FF7C80" w:themeColor="accent1"/>
        </w:tcBorders>
      </w:tcPr>
    </w:tblStylePr>
    <w:tblStylePr w:type="band1Vert">
      <w:tblPr/>
      <w:tcPr>
        <w:tcBorders>
          <w:top w:val="single" w:sz="8" w:space="0" w:color="FF7C80" w:themeColor="accent1"/>
          <w:left w:val="single" w:sz="8" w:space="0" w:color="FF7C80" w:themeColor="accent1"/>
          <w:bottom w:val="single" w:sz="8" w:space="0" w:color="FF7C80" w:themeColor="accent1"/>
          <w:right w:val="single" w:sz="8" w:space="0" w:color="FF7C80" w:themeColor="accent1"/>
        </w:tcBorders>
        <w:shd w:val="clear" w:color="auto" w:fill="FFDEDF" w:themeFill="accent1" w:themeFillTint="3F"/>
      </w:tcPr>
    </w:tblStylePr>
    <w:tblStylePr w:type="band1Horz">
      <w:tblPr/>
      <w:tcPr>
        <w:tcBorders>
          <w:top w:val="single" w:sz="8" w:space="0" w:color="FF7C80" w:themeColor="accent1"/>
          <w:left w:val="single" w:sz="8" w:space="0" w:color="FF7C80" w:themeColor="accent1"/>
          <w:bottom w:val="single" w:sz="8" w:space="0" w:color="FF7C80" w:themeColor="accent1"/>
          <w:right w:val="single" w:sz="8" w:space="0" w:color="FF7C80" w:themeColor="accent1"/>
          <w:insideV w:val="single" w:sz="8" w:space="0" w:color="FF7C80" w:themeColor="accent1"/>
        </w:tcBorders>
        <w:shd w:val="clear" w:color="auto" w:fill="FFDEDF" w:themeFill="accent1" w:themeFillTint="3F"/>
      </w:tcPr>
    </w:tblStylePr>
    <w:tblStylePr w:type="band2Horz">
      <w:tblPr/>
      <w:tcPr>
        <w:tcBorders>
          <w:top w:val="single" w:sz="8" w:space="0" w:color="FF7C80" w:themeColor="accent1"/>
          <w:left w:val="single" w:sz="8" w:space="0" w:color="FF7C80" w:themeColor="accent1"/>
          <w:bottom w:val="single" w:sz="8" w:space="0" w:color="FF7C80" w:themeColor="accent1"/>
          <w:right w:val="single" w:sz="8" w:space="0" w:color="FF7C80" w:themeColor="accent1"/>
          <w:insideV w:val="single" w:sz="8" w:space="0" w:color="FF7C8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FF0066" w:themeColor="accent2"/>
        <w:left w:val="single" w:sz="8" w:space="0" w:color="FF0066" w:themeColor="accent2"/>
        <w:bottom w:val="single" w:sz="8" w:space="0" w:color="FF0066" w:themeColor="accent2"/>
        <w:right w:val="single" w:sz="8" w:space="0" w:color="FF0066" w:themeColor="accent2"/>
        <w:insideH w:val="single" w:sz="8" w:space="0" w:color="FF0066" w:themeColor="accent2"/>
        <w:insideV w:val="single" w:sz="8" w:space="0" w:color="FF006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66" w:themeColor="accent2"/>
          <w:left w:val="single" w:sz="8" w:space="0" w:color="FF0066" w:themeColor="accent2"/>
          <w:bottom w:val="single" w:sz="18" w:space="0" w:color="FF0066" w:themeColor="accent2"/>
          <w:right w:val="single" w:sz="8" w:space="0" w:color="FF0066" w:themeColor="accent2"/>
          <w:insideH w:val="nil"/>
          <w:insideV w:val="single" w:sz="8" w:space="0" w:color="FF006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66" w:themeColor="accent2"/>
          <w:left w:val="single" w:sz="8" w:space="0" w:color="FF0066" w:themeColor="accent2"/>
          <w:bottom w:val="single" w:sz="8" w:space="0" w:color="FF0066" w:themeColor="accent2"/>
          <w:right w:val="single" w:sz="8" w:space="0" w:color="FF0066" w:themeColor="accent2"/>
          <w:insideH w:val="nil"/>
          <w:insideV w:val="single" w:sz="8" w:space="0" w:color="FF006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66" w:themeColor="accent2"/>
          <w:left w:val="single" w:sz="8" w:space="0" w:color="FF0066" w:themeColor="accent2"/>
          <w:bottom w:val="single" w:sz="8" w:space="0" w:color="FF0066" w:themeColor="accent2"/>
          <w:right w:val="single" w:sz="8" w:space="0" w:color="FF0066" w:themeColor="accent2"/>
        </w:tcBorders>
      </w:tcPr>
    </w:tblStylePr>
    <w:tblStylePr w:type="band1Vert">
      <w:tblPr/>
      <w:tcPr>
        <w:tcBorders>
          <w:top w:val="single" w:sz="8" w:space="0" w:color="FF0066" w:themeColor="accent2"/>
          <w:left w:val="single" w:sz="8" w:space="0" w:color="FF0066" w:themeColor="accent2"/>
          <w:bottom w:val="single" w:sz="8" w:space="0" w:color="FF0066" w:themeColor="accent2"/>
          <w:right w:val="single" w:sz="8" w:space="0" w:color="FF0066" w:themeColor="accent2"/>
        </w:tcBorders>
        <w:shd w:val="clear" w:color="auto" w:fill="FFC0D9" w:themeFill="accent2" w:themeFillTint="3F"/>
      </w:tcPr>
    </w:tblStylePr>
    <w:tblStylePr w:type="band1Horz">
      <w:tblPr/>
      <w:tcPr>
        <w:tcBorders>
          <w:top w:val="single" w:sz="8" w:space="0" w:color="FF0066" w:themeColor="accent2"/>
          <w:left w:val="single" w:sz="8" w:space="0" w:color="FF0066" w:themeColor="accent2"/>
          <w:bottom w:val="single" w:sz="8" w:space="0" w:color="FF0066" w:themeColor="accent2"/>
          <w:right w:val="single" w:sz="8" w:space="0" w:color="FF0066" w:themeColor="accent2"/>
          <w:insideV w:val="single" w:sz="8" w:space="0" w:color="FF0066" w:themeColor="accent2"/>
        </w:tcBorders>
        <w:shd w:val="clear" w:color="auto" w:fill="FFC0D9" w:themeFill="accent2" w:themeFillTint="3F"/>
      </w:tcPr>
    </w:tblStylePr>
    <w:tblStylePr w:type="band2Horz">
      <w:tblPr/>
      <w:tcPr>
        <w:tcBorders>
          <w:top w:val="single" w:sz="8" w:space="0" w:color="FF0066" w:themeColor="accent2"/>
          <w:left w:val="single" w:sz="8" w:space="0" w:color="FF0066" w:themeColor="accent2"/>
          <w:bottom w:val="single" w:sz="8" w:space="0" w:color="FF0066" w:themeColor="accent2"/>
          <w:right w:val="single" w:sz="8" w:space="0" w:color="FF0066" w:themeColor="accent2"/>
          <w:insideV w:val="single" w:sz="8" w:space="0" w:color="FF006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C1F0C8" w:themeColor="accent3"/>
        <w:left w:val="single" w:sz="8" w:space="0" w:color="C1F0C8" w:themeColor="accent3"/>
        <w:bottom w:val="single" w:sz="8" w:space="0" w:color="C1F0C8" w:themeColor="accent3"/>
        <w:right w:val="single" w:sz="8" w:space="0" w:color="C1F0C8" w:themeColor="accent3"/>
        <w:insideH w:val="single" w:sz="8" w:space="0" w:color="C1F0C8" w:themeColor="accent3"/>
        <w:insideV w:val="single" w:sz="8" w:space="0" w:color="C1F0C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F0C8" w:themeColor="accent3"/>
          <w:left w:val="single" w:sz="8" w:space="0" w:color="C1F0C8" w:themeColor="accent3"/>
          <w:bottom w:val="single" w:sz="18" w:space="0" w:color="C1F0C8" w:themeColor="accent3"/>
          <w:right w:val="single" w:sz="8" w:space="0" w:color="C1F0C8" w:themeColor="accent3"/>
          <w:insideH w:val="nil"/>
          <w:insideV w:val="single" w:sz="8" w:space="0" w:color="C1F0C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F0C8" w:themeColor="accent3"/>
          <w:left w:val="single" w:sz="8" w:space="0" w:color="C1F0C8" w:themeColor="accent3"/>
          <w:bottom w:val="single" w:sz="8" w:space="0" w:color="C1F0C8" w:themeColor="accent3"/>
          <w:right w:val="single" w:sz="8" w:space="0" w:color="C1F0C8" w:themeColor="accent3"/>
          <w:insideH w:val="nil"/>
          <w:insideV w:val="single" w:sz="8" w:space="0" w:color="C1F0C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F0C8" w:themeColor="accent3"/>
          <w:left w:val="single" w:sz="8" w:space="0" w:color="C1F0C8" w:themeColor="accent3"/>
          <w:bottom w:val="single" w:sz="8" w:space="0" w:color="C1F0C8" w:themeColor="accent3"/>
          <w:right w:val="single" w:sz="8" w:space="0" w:color="C1F0C8" w:themeColor="accent3"/>
        </w:tcBorders>
      </w:tcPr>
    </w:tblStylePr>
    <w:tblStylePr w:type="band1Vert">
      <w:tblPr/>
      <w:tcPr>
        <w:tcBorders>
          <w:top w:val="single" w:sz="8" w:space="0" w:color="C1F0C8" w:themeColor="accent3"/>
          <w:left w:val="single" w:sz="8" w:space="0" w:color="C1F0C8" w:themeColor="accent3"/>
          <w:bottom w:val="single" w:sz="8" w:space="0" w:color="C1F0C8" w:themeColor="accent3"/>
          <w:right w:val="single" w:sz="8" w:space="0" w:color="C1F0C8" w:themeColor="accent3"/>
        </w:tcBorders>
        <w:shd w:val="clear" w:color="auto" w:fill="EFFBF1" w:themeFill="accent3" w:themeFillTint="3F"/>
      </w:tcPr>
    </w:tblStylePr>
    <w:tblStylePr w:type="band1Horz">
      <w:tblPr/>
      <w:tcPr>
        <w:tcBorders>
          <w:top w:val="single" w:sz="8" w:space="0" w:color="C1F0C8" w:themeColor="accent3"/>
          <w:left w:val="single" w:sz="8" w:space="0" w:color="C1F0C8" w:themeColor="accent3"/>
          <w:bottom w:val="single" w:sz="8" w:space="0" w:color="C1F0C8" w:themeColor="accent3"/>
          <w:right w:val="single" w:sz="8" w:space="0" w:color="C1F0C8" w:themeColor="accent3"/>
          <w:insideV w:val="single" w:sz="8" w:space="0" w:color="C1F0C8" w:themeColor="accent3"/>
        </w:tcBorders>
        <w:shd w:val="clear" w:color="auto" w:fill="EFFBF1" w:themeFill="accent3" w:themeFillTint="3F"/>
      </w:tcPr>
    </w:tblStylePr>
    <w:tblStylePr w:type="band2Horz">
      <w:tblPr/>
      <w:tcPr>
        <w:tcBorders>
          <w:top w:val="single" w:sz="8" w:space="0" w:color="C1F0C8" w:themeColor="accent3"/>
          <w:left w:val="single" w:sz="8" w:space="0" w:color="C1F0C8" w:themeColor="accent3"/>
          <w:bottom w:val="single" w:sz="8" w:space="0" w:color="C1F0C8" w:themeColor="accent3"/>
          <w:right w:val="single" w:sz="8" w:space="0" w:color="C1F0C8" w:themeColor="accent3"/>
          <w:insideV w:val="single" w:sz="8" w:space="0" w:color="C1F0C8"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92D050" w:themeColor="accent4"/>
        <w:left w:val="single" w:sz="8" w:space="0" w:color="92D050" w:themeColor="accent4"/>
        <w:bottom w:val="single" w:sz="8" w:space="0" w:color="92D050" w:themeColor="accent4"/>
        <w:right w:val="single" w:sz="8" w:space="0" w:color="92D050" w:themeColor="accent4"/>
        <w:insideH w:val="single" w:sz="8" w:space="0" w:color="92D050" w:themeColor="accent4"/>
        <w:insideV w:val="single" w:sz="8" w:space="0" w:color="92D05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2D050" w:themeColor="accent4"/>
          <w:left w:val="single" w:sz="8" w:space="0" w:color="92D050" w:themeColor="accent4"/>
          <w:bottom w:val="single" w:sz="18" w:space="0" w:color="92D050" w:themeColor="accent4"/>
          <w:right w:val="single" w:sz="8" w:space="0" w:color="92D050" w:themeColor="accent4"/>
          <w:insideH w:val="nil"/>
          <w:insideV w:val="single" w:sz="8" w:space="0" w:color="92D05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2D050" w:themeColor="accent4"/>
          <w:left w:val="single" w:sz="8" w:space="0" w:color="92D050" w:themeColor="accent4"/>
          <w:bottom w:val="single" w:sz="8" w:space="0" w:color="92D050" w:themeColor="accent4"/>
          <w:right w:val="single" w:sz="8" w:space="0" w:color="92D050" w:themeColor="accent4"/>
          <w:insideH w:val="nil"/>
          <w:insideV w:val="single" w:sz="8" w:space="0" w:color="92D05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2D050" w:themeColor="accent4"/>
          <w:left w:val="single" w:sz="8" w:space="0" w:color="92D050" w:themeColor="accent4"/>
          <w:bottom w:val="single" w:sz="8" w:space="0" w:color="92D050" w:themeColor="accent4"/>
          <w:right w:val="single" w:sz="8" w:space="0" w:color="92D050" w:themeColor="accent4"/>
        </w:tcBorders>
      </w:tcPr>
    </w:tblStylePr>
    <w:tblStylePr w:type="band1Vert">
      <w:tblPr/>
      <w:tcPr>
        <w:tcBorders>
          <w:top w:val="single" w:sz="8" w:space="0" w:color="92D050" w:themeColor="accent4"/>
          <w:left w:val="single" w:sz="8" w:space="0" w:color="92D050" w:themeColor="accent4"/>
          <w:bottom w:val="single" w:sz="8" w:space="0" w:color="92D050" w:themeColor="accent4"/>
          <w:right w:val="single" w:sz="8" w:space="0" w:color="92D050" w:themeColor="accent4"/>
        </w:tcBorders>
        <w:shd w:val="clear" w:color="auto" w:fill="E3F3D3" w:themeFill="accent4" w:themeFillTint="3F"/>
      </w:tcPr>
    </w:tblStylePr>
    <w:tblStylePr w:type="band1Horz">
      <w:tblPr/>
      <w:tcPr>
        <w:tcBorders>
          <w:top w:val="single" w:sz="8" w:space="0" w:color="92D050" w:themeColor="accent4"/>
          <w:left w:val="single" w:sz="8" w:space="0" w:color="92D050" w:themeColor="accent4"/>
          <w:bottom w:val="single" w:sz="8" w:space="0" w:color="92D050" w:themeColor="accent4"/>
          <w:right w:val="single" w:sz="8" w:space="0" w:color="92D050" w:themeColor="accent4"/>
          <w:insideV w:val="single" w:sz="8" w:space="0" w:color="92D050" w:themeColor="accent4"/>
        </w:tcBorders>
        <w:shd w:val="clear" w:color="auto" w:fill="E3F3D3" w:themeFill="accent4" w:themeFillTint="3F"/>
      </w:tcPr>
    </w:tblStylePr>
    <w:tblStylePr w:type="band2Horz">
      <w:tblPr/>
      <w:tcPr>
        <w:tcBorders>
          <w:top w:val="single" w:sz="8" w:space="0" w:color="92D050" w:themeColor="accent4"/>
          <w:left w:val="single" w:sz="8" w:space="0" w:color="92D050" w:themeColor="accent4"/>
          <w:bottom w:val="single" w:sz="8" w:space="0" w:color="92D050" w:themeColor="accent4"/>
          <w:right w:val="single" w:sz="8" w:space="0" w:color="92D050" w:themeColor="accent4"/>
          <w:insideV w:val="single" w:sz="8" w:space="0" w:color="92D05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F3399" w:themeColor="accent5"/>
        <w:left w:val="single" w:sz="8" w:space="0" w:color="FF3399" w:themeColor="accent5"/>
        <w:bottom w:val="single" w:sz="8" w:space="0" w:color="FF3399" w:themeColor="accent5"/>
        <w:right w:val="single" w:sz="8" w:space="0" w:color="FF3399" w:themeColor="accent5"/>
        <w:insideH w:val="single" w:sz="8" w:space="0" w:color="FF3399" w:themeColor="accent5"/>
        <w:insideV w:val="single" w:sz="8" w:space="0" w:color="FF339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399" w:themeColor="accent5"/>
          <w:left w:val="single" w:sz="8" w:space="0" w:color="FF3399" w:themeColor="accent5"/>
          <w:bottom w:val="single" w:sz="18" w:space="0" w:color="FF3399" w:themeColor="accent5"/>
          <w:right w:val="single" w:sz="8" w:space="0" w:color="FF3399" w:themeColor="accent5"/>
          <w:insideH w:val="nil"/>
          <w:insideV w:val="single" w:sz="8" w:space="0" w:color="FF339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399" w:themeColor="accent5"/>
          <w:left w:val="single" w:sz="8" w:space="0" w:color="FF3399" w:themeColor="accent5"/>
          <w:bottom w:val="single" w:sz="8" w:space="0" w:color="FF3399" w:themeColor="accent5"/>
          <w:right w:val="single" w:sz="8" w:space="0" w:color="FF3399" w:themeColor="accent5"/>
          <w:insideH w:val="nil"/>
          <w:insideV w:val="single" w:sz="8" w:space="0" w:color="FF339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399" w:themeColor="accent5"/>
          <w:left w:val="single" w:sz="8" w:space="0" w:color="FF3399" w:themeColor="accent5"/>
          <w:bottom w:val="single" w:sz="8" w:space="0" w:color="FF3399" w:themeColor="accent5"/>
          <w:right w:val="single" w:sz="8" w:space="0" w:color="FF3399" w:themeColor="accent5"/>
        </w:tcBorders>
      </w:tcPr>
    </w:tblStylePr>
    <w:tblStylePr w:type="band1Vert">
      <w:tblPr/>
      <w:tcPr>
        <w:tcBorders>
          <w:top w:val="single" w:sz="8" w:space="0" w:color="FF3399" w:themeColor="accent5"/>
          <w:left w:val="single" w:sz="8" w:space="0" w:color="FF3399" w:themeColor="accent5"/>
          <w:bottom w:val="single" w:sz="8" w:space="0" w:color="FF3399" w:themeColor="accent5"/>
          <w:right w:val="single" w:sz="8" w:space="0" w:color="FF3399" w:themeColor="accent5"/>
        </w:tcBorders>
        <w:shd w:val="clear" w:color="auto" w:fill="FFCCE5" w:themeFill="accent5" w:themeFillTint="3F"/>
      </w:tcPr>
    </w:tblStylePr>
    <w:tblStylePr w:type="band1Horz">
      <w:tblPr/>
      <w:tcPr>
        <w:tcBorders>
          <w:top w:val="single" w:sz="8" w:space="0" w:color="FF3399" w:themeColor="accent5"/>
          <w:left w:val="single" w:sz="8" w:space="0" w:color="FF3399" w:themeColor="accent5"/>
          <w:bottom w:val="single" w:sz="8" w:space="0" w:color="FF3399" w:themeColor="accent5"/>
          <w:right w:val="single" w:sz="8" w:space="0" w:color="FF3399" w:themeColor="accent5"/>
          <w:insideV w:val="single" w:sz="8" w:space="0" w:color="FF3399" w:themeColor="accent5"/>
        </w:tcBorders>
        <w:shd w:val="clear" w:color="auto" w:fill="FFCCE5" w:themeFill="accent5" w:themeFillTint="3F"/>
      </w:tcPr>
    </w:tblStylePr>
    <w:tblStylePr w:type="band2Horz">
      <w:tblPr/>
      <w:tcPr>
        <w:tcBorders>
          <w:top w:val="single" w:sz="8" w:space="0" w:color="FF3399" w:themeColor="accent5"/>
          <w:left w:val="single" w:sz="8" w:space="0" w:color="FF3399" w:themeColor="accent5"/>
          <w:bottom w:val="single" w:sz="8" w:space="0" w:color="FF3399" w:themeColor="accent5"/>
          <w:right w:val="single" w:sz="8" w:space="0" w:color="FF3399" w:themeColor="accent5"/>
          <w:insideV w:val="single" w:sz="8" w:space="0" w:color="FF3399"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F9C9F" w:themeColor="accent1" w:themeTint="BF"/>
        <w:left w:val="single" w:sz="8" w:space="0" w:color="FF9C9F" w:themeColor="accent1" w:themeTint="BF"/>
        <w:bottom w:val="single" w:sz="8" w:space="0" w:color="FF9C9F" w:themeColor="accent1" w:themeTint="BF"/>
        <w:right w:val="single" w:sz="8" w:space="0" w:color="FF9C9F" w:themeColor="accent1" w:themeTint="BF"/>
        <w:insideH w:val="single" w:sz="8" w:space="0" w:color="FF9C9F" w:themeColor="accent1" w:themeTint="BF"/>
      </w:tblBorders>
    </w:tblPr>
    <w:tblStylePr w:type="firstRow">
      <w:pPr>
        <w:spacing w:before="0" w:after="0" w:line="240" w:lineRule="auto"/>
      </w:pPr>
      <w:rPr>
        <w:b/>
        <w:bCs/>
        <w:color w:val="FFFFFF" w:themeColor="background1"/>
      </w:rPr>
      <w:tblPr/>
      <w:tcPr>
        <w:tcBorders>
          <w:top w:val="single" w:sz="8" w:space="0" w:color="FF9C9F" w:themeColor="accent1" w:themeTint="BF"/>
          <w:left w:val="single" w:sz="8" w:space="0" w:color="FF9C9F" w:themeColor="accent1" w:themeTint="BF"/>
          <w:bottom w:val="single" w:sz="8" w:space="0" w:color="FF9C9F" w:themeColor="accent1" w:themeTint="BF"/>
          <w:right w:val="single" w:sz="8" w:space="0" w:color="FF9C9F" w:themeColor="accent1" w:themeTint="BF"/>
          <w:insideH w:val="nil"/>
          <w:insideV w:val="nil"/>
        </w:tcBorders>
        <w:shd w:val="clear" w:color="auto" w:fill="FF7C80" w:themeFill="accent1"/>
      </w:tcPr>
    </w:tblStylePr>
    <w:tblStylePr w:type="lastRow">
      <w:pPr>
        <w:spacing w:before="0" w:after="0" w:line="240" w:lineRule="auto"/>
      </w:pPr>
      <w:rPr>
        <w:b/>
        <w:bCs/>
      </w:rPr>
      <w:tblPr/>
      <w:tcPr>
        <w:tcBorders>
          <w:top w:val="double" w:sz="6" w:space="0" w:color="FF9C9F" w:themeColor="accent1" w:themeTint="BF"/>
          <w:left w:val="single" w:sz="8" w:space="0" w:color="FF9C9F" w:themeColor="accent1" w:themeTint="BF"/>
          <w:bottom w:val="single" w:sz="8" w:space="0" w:color="FF9C9F" w:themeColor="accent1" w:themeTint="BF"/>
          <w:right w:val="single" w:sz="8" w:space="0" w:color="FF9C9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DEDF" w:themeFill="accent1" w:themeFillTint="3F"/>
      </w:tcPr>
    </w:tblStylePr>
    <w:tblStylePr w:type="band1Horz">
      <w:tblPr/>
      <w:tcPr>
        <w:tcBorders>
          <w:insideH w:val="nil"/>
          <w:insideV w:val="nil"/>
        </w:tcBorders>
        <w:shd w:val="clear" w:color="auto" w:fill="FFDED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F408C" w:themeColor="accent2" w:themeTint="BF"/>
        <w:left w:val="single" w:sz="8" w:space="0" w:color="FF408C" w:themeColor="accent2" w:themeTint="BF"/>
        <w:bottom w:val="single" w:sz="8" w:space="0" w:color="FF408C" w:themeColor="accent2" w:themeTint="BF"/>
        <w:right w:val="single" w:sz="8" w:space="0" w:color="FF408C" w:themeColor="accent2" w:themeTint="BF"/>
        <w:insideH w:val="single" w:sz="8" w:space="0" w:color="FF408C" w:themeColor="accent2" w:themeTint="BF"/>
      </w:tblBorders>
    </w:tblPr>
    <w:tblStylePr w:type="firstRow">
      <w:pPr>
        <w:spacing w:before="0" w:after="0" w:line="240" w:lineRule="auto"/>
      </w:pPr>
      <w:rPr>
        <w:b/>
        <w:bCs/>
        <w:color w:val="FFFFFF" w:themeColor="background1"/>
      </w:rPr>
      <w:tblPr/>
      <w:tcPr>
        <w:tcBorders>
          <w:top w:val="single" w:sz="8" w:space="0" w:color="FF408C" w:themeColor="accent2" w:themeTint="BF"/>
          <w:left w:val="single" w:sz="8" w:space="0" w:color="FF408C" w:themeColor="accent2" w:themeTint="BF"/>
          <w:bottom w:val="single" w:sz="8" w:space="0" w:color="FF408C" w:themeColor="accent2" w:themeTint="BF"/>
          <w:right w:val="single" w:sz="8" w:space="0" w:color="FF408C" w:themeColor="accent2" w:themeTint="BF"/>
          <w:insideH w:val="nil"/>
          <w:insideV w:val="nil"/>
        </w:tcBorders>
        <w:shd w:val="clear" w:color="auto" w:fill="FF0066" w:themeFill="accent2"/>
      </w:tcPr>
    </w:tblStylePr>
    <w:tblStylePr w:type="lastRow">
      <w:pPr>
        <w:spacing w:before="0" w:after="0" w:line="240" w:lineRule="auto"/>
      </w:pPr>
      <w:rPr>
        <w:b/>
        <w:bCs/>
      </w:rPr>
      <w:tblPr/>
      <w:tcPr>
        <w:tcBorders>
          <w:top w:val="double" w:sz="6" w:space="0" w:color="FF408C" w:themeColor="accent2" w:themeTint="BF"/>
          <w:left w:val="single" w:sz="8" w:space="0" w:color="FF408C" w:themeColor="accent2" w:themeTint="BF"/>
          <w:bottom w:val="single" w:sz="8" w:space="0" w:color="FF408C" w:themeColor="accent2" w:themeTint="BF"/>
          <w:right w:val="single" w:sz="8" w:space="0" w:color="FF408C"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D9" w:themeFill="accent2" w:themeFillTint="3F"/>
      </w:tcPr>
    </w:tblStylePr>
    <w:tblStylePr w:type="band1Horz">
      <w:tblPr/>
      <w:tcPr>
        <w:tcBorders>
          <w:insideH w:val="nil"/>
          <w:insideV w:val="nil"/>
        </w:tcBorders>
        <w:shd w:val="clear" w:color="auto" w:fill="FFC0D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D0F3D5" w:themeColor="accent3" w:themeTint="BF"/>
        <w:left w:val="single" w:sz="8" w:space="0" w:color="D0F3D5" w:themeColor="accent3" w:themeTint="BF"/>
        <w:bottom w:val="single" w:sz="8" w:space="0" w:color="D0F3D5" w:themeColor="accent3" w:themeTint="BF"/>
        <w:right w:val="single" w:sz="8" w:space="0" w:color="D0F3D5" w:themeColor="accent3" w:themeTint="BF"/>
        <w:insideH w:val="single" w:sz="8" w:space="0" w:color="D0F3D5" w:themeColor="accent3" w:themeTint="BF"/>
      </w:tblBorders>
    </w:tblPr>
    <w:tblStylePr w:type="firstRow">
      <w:pPr>
        <w:spacing w:before="0" w:after="0" w:line="240" w:lineRule="auto"/>
      </w:pPr>
      <w:rPr>
        <w:b/>
        <w:bCs/>
        <w:color w:val="FFFFFF" w:themeColor="background1"/>
      </w:rPr>
      <w:tblPr/>
      <w:tcPr>
        <w:tcBorders>
          <w:top w:val="single" w:sz="8" w:space="0" w:color="D0F3D5" w:themeColor="accent3" w:themeTint="BF"/>
          <w:left w:val="single" w:sz="8" w:space="0" w:color="D0F3D5" w:themeColor="accent3" w:themeTint="BF"/>
          <w:bottom w:val="single" w:sz="8" w:space="0" w:color="D0F3D5" w:themeColor="accent3" w:themeTint="BF"/>
          <w:right w:val="single" w:sz="8" w:space="0" w:color="D0F3D5" w:themeColor="accent3" w:themeTint="BF"/>
          <w:insideH w:val="nil"/>
          <w:insideV w:val="nil"/>
        </w:tcBorders>
        <w:shd w:val="clear" w:color="auto" w:fill="C1F0C8" w:themeFill="accent3"/>
      </w:tcPr>
    </w:tblStylePr>
    <w:tblStylePr w:type="lastRow">
      <w:pPr>
        <w:spacing w:before="0" w:after="0" w:line="240" w:lineRule="auto"/>
      </w:pPr>
      <w:rPr>
        <w:b/>
        <w:bCs/>
      </w:rPr>
      <w:tblPr/>
      <w:tcPr>
        <w:tcBorders>
          <w:top w:val="double" w:sz="6" w:space="0" w:color="D0F3D5" w:themeColor="accent3" w:themeTint="BF"/>
          <w:left w:val="single" w:sz="8" w:space="0" w:color="D0F3D5" w:themeColor="accent3" w:themeTint="BF"/>
          <w:bottom w:val="single" w:sz="8" w:space="0" w:color="D0F3D5" w:themeColor="accent3" w:themeTint="BF"/>
          <w:right w:val="single" w:sz="8" w:space="0" w:color="D0F3D5"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FBF1" w:themeFill="accent3" w:themeFillTint="3F"/>
      </w:tcPr>
    </w:tblStylePr>
    <w:tblStylePr w:type="band1Horz">
      <w:tblPr/>
      <w:tcPr>
        <w:tcBorders>
          <w:insideH w:val="nil"/>
          <w:insideV w:val="nil"/>
        </w:tcBorders>
        <w:shd w:val="clear" w:color="auto" w:fill="EFFB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ADDB7B" w:themeColor="accent4" w:themeTint="BF"/>
        <w:left w:val="single" w:sz="8" w:space="0" w:color="ADDB7B" w:themeColor="accent4" w:themeTint="BF"/>
        <w:bottom w:val="single" w:sz="8" w:space="0" w:color="ADDB7B" w:themeColor="accent4" w:themeTint="BF"/>
        <w:right w:val="single" w:sz="8" w:space="0" w:color="ADDB7B" w:themeColor="accent4" w:themeTint="BF"/>
        <w:insideH w:val="single" w:sz="8" w:space="0" w:color="ADDB7B" w:themeColor="accent4" w:themeTint="BF"/>
      </w:tblBorders>
    </w:tblPr>
    <w:tblStylePr w:type="firstRow">
      <w:pPr>
        <w:spacing w:before="0" w:after="0" w:line="240" w:lineRule="auto"/>
      </w:pPr>
      <w:rPr>
        <w:b/>
        <w:bCs/>
        <w:color w:val="FFFFFF" w:themeColor="background1"/>
      </w:rPr>
      <w:tblPr/>
      <w:tcPr>
        <w:tcBorders>
          <w:top w:val="single" w:sz="8" w:space="0" w:color="ADDB7B" w:themeColor="accent4" w:themeTint="BF"/>
          <w:left w:val="single" w:sz="8" w:space="0" w:color="ADDB7B" w:themeColor="accent4" w:themeTint="BF"/>
          <w:bottom w:val="single" w:sz="8" w:space="0" w:color="ADDB7B" w:themeColor="accent4" w:themeTint="BF"/>
          <w:right w:val="single" w:sz="8" w:space="0" w:color="ADDB7B" w:themeColor="accent4" w:themeTint="BF"/>
          <w:insideH w:val="nil"/>
          <w:insideV w:val="nil"/>
        </w:tcBorders>
        <w:shd w:val="clear" w:color="auto" w:fill="92D050" w:themeFill="accent4"/>
      </w:tcPr>
    </w:tblStylePr>
    <w:tblStylePr w:type="lastRow">
      <w:pPr>
        <w:spacing w:before="0" w:after="0" w:line="240" w:lineRule="auto"/>
      </w:pPr>
      <w:rPr>
        <w:b/>
        <w:bCs/>
      </w:rPr>
      <w:tblPr/>
      <w:tcPr>
        <w:tcBorders>
          <w:top w:val="double" w:sz="6" w:space="0" w:color="ADDB7B" w:themeColor="accent4" w:themeTint="BF"/>
          <w:left w:val="single" w:sz="8" w:space="0" w:color="ADDB7B" w:themeColor="accent4" w:themeTint="BF"/>
          <w:bottom w:val="single" w:sz="8" w:space="0" w:color="ADDB7B" w:themeColor="accent4" w:themeTint="BF"/>
          <w:right w:val="single" w:sz="8" w:space="0" w:color="ADDB7B" w:themeColor="accent4" w:themeTint="BF"/>
          <w:insideH w:val="nil"/>
          <w:insideV w:val="nil"/>
        </w:tcBorders>
      </w:tcPr>
    </w:tblStylePr>
    <w:tblStylePr w:type="firstCol">
      <w:rPr>
        <w:b/>
        <w:bCs/>
      </w:rPr>
    </w:tblStylePr>
    <w:tblStylePr w:type="lastCol">
      <w:rPr>
        <w:b/>
        <w:bCs/>
      </w:rPr>
    </w:tblStylePr>
    <w:tblStylePr w:type="band1Vert">
      <w:tblPr/>
      <w:tcPr>
        <w:shd w:val="clear" w:color="auto" w:fill="E3F3D3" w:themeFill="accent4" w:themeFillTint="3F"/>
      </w:tcPr>
    </w:tblStylePr>
    <w:tblStylePr w:type="band1Horz">
      <w:tblPr/>
      <w:tcPr>
        <w:tcBorders>
          <w:insideH w:val="nil"/>
          <w:insideV w:val="nil"/>
        </w:tcBorders>
        <w:shd w:val="clear" w:color="auto" w:fill="E3F3D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F66B2" w:themeColor="accent5" w:themeTint="BF"/>
        <w:left w:val="single" w:sz="8" w:space="0" w:color="FF66B2" w:themeColor="accent5" w:themeTint="BF"/>
        <w:bottom w:val="single" w:sz="8" w:space="0" w:color="FF66B2" w:themeColor="accent5" w:themeTint="BF"/>
        <w:right w:val="single" w:sz="8" w:space="0" w:color="FF66B2" w:themeColor="accent5" w:themeTint="BF"/>
        <w:insideH w:val="single" w:sz="8" w:space="0" w:color="FF66B2" w:themeColor="accent5" w:themeTint="BF"/>
      </w:tblBorders>
    </w:tblPr>
    <w:tblStylePr w:type="firstRow">
      <w:pPr>
        <w:spacing w:before="0" w:after="0" w:line="240" w:lineRule="auto"/>
      </w:pPr>
      <w:rPr>
        <w:b/>
        <w:bCs/>
        <w:color w:val="FFFFFF" w:themeColor="background1"/>
      </w:rPr>
      <w:tblPr/>
      <w:tcPr>
        <w:tcBorders>
          <w:top w:val="single" w:sz="8" w:space="0" w:color="FF66B2" w:themeColor="accent5" w:themeTint="BF"/>
          <w:left w:val="single" w:sz="8" w:space="0" w:color="FF66B2" w:themeColor="accent5" w:themeTint="BF"/>
          <w:bottom w:val="single" w:sz="8" w:space="0" w:color="FF66B2" w:themeColor="accent5" w:themeTint="BF"/>
          <w:right w:val="single" w:sz="8" w:space="0" w:color="FF66B2" w:themeColor="accent5" w:themeTint="BF"/>
          <w:insideH w:val="nil"/>
          <w:insideV w:val="nil"/>
        </w:tcBorders>
        <w:shd w:val="clear" w:color="auto" w:fill="FF3399" w:themeFill="accent5"/>
      </w:tcPr>
    </w:tblStylePr>
    <w:tblStylePr w:type="lastRow">
      <w:pPr>
        <w:spacing w:before="0" w:after="0" w:line="240" w:lineRule="auto"/>
      </w:pPr>
      <w:rPr>
        <w:b/>
        <w:bCs/>
      </w:rPr>
      <w:tblPr/>
      <w:tcPr>
        <w:tcBorders>
          <w:top w:val="double" w:sz="6" w:space="0" w:color="FF66B2" w:themeColor="accent5" w:themeTint="BF"/>
          <w:left w:val="single" w:sz="8" w:space="0" w:color="FF66B2" w:themeColor="accent5" w:themeTint="BF"/>
          <w:bottom w:val="single" w:sz="8" w:space="0" w:color="FF66B2" w:themeColor="accent5" w:themeTint="BF"/>
          <w:right w:val="single" w:sz="8" w:space="0" w:color="FF66B2"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CCE5" w:themeFill="accent5" w:themeFillTint="3F"/>
      </w:tcPr>
    </w:tblStylePr>
    <w:tblStylePr w:type="band1Horz">
      <w:tblPr/>
      <w:tcPr>
        <w:tcBorders>
          <w:insideH w:val="nil"/>
          <w:insideV w:val="nil"/>
        </w:tcBorders>
        <w:shd w:val="clear" w:color="auto" w:fill="FFCCE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C8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7C80" w:themeFill="accent1"/>
      </w:tcPr>
    </w:tblStylePr>
    <w:tblStylePr w:type="lastCol">
      <w:rPr>
        <w:b/>
        <w:bCs/>
        <w:color w:val="FFFFFF" w:themeColor="background1"/>
      </w:rPr>
      <w:tblPr/>
      <w:tcPr>
        <w:tcBorders>
          <w:left w:val="nil"/>
          <w:right w:val="nil"/>
          <w:insideH w:val="nil"/>
          <w:insideV w:val="nil"/>
        </w:tcBorders>
        <w:shd w:val="clear" w:color="auto" w:fill="FF7C8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6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0066" w:themeFill="accent2"/>
      </w:tcPr>
    </w:tblStylePr>
    <w:tblStylePr w:type="lastCol">
      <w:rPr>
        <w:b/>
        <w:bCs/>
        <w:color w:val="FFFFFF" w:themeColor="background1"/>
      </w:rPr>
      <w:tblPr/>
      <w:tcPr>
        <w:tcBorders>
          <w:left w:val="nil"/>
          <w:right w:val="nil"/>
          <w:insideH w:val="nil"/>
          <w:insideV w:val="nil"/>
        </w:tcBorders>
        <w:shd w:val="clear" w:color="auto" w:fill="FF006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F0C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F0C8" w:themeFill="accent3"/>
      </w:tcPr>
    </w:tblStylePr>
    <w:tblStylePr w:type="lastCol">
      <w:rPr>
        <w:b/>
        <w:bCs/>
        <w:color w:val="FFFFFF" w:themeColor="background1"/>
      </w:rPr>
      <w:tblPr/>
      <w:tcPr>
        <w:tcBorders>
          <w:left w:val="nil"/>
          <w:right w:val="nil"/>
          <w:insideH w:val="nil"/>
          <w:insideV w:val="nil"/>
        </w:tcBorders>
        <w:shd w:val="clear" w:color="auto" w:fill="C1F0C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2D05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2D050" w:themeFill="accent4"/>
      </w:tcPr>
    </w:tblStylePr>
    <w:tblStylePr w:type="lastCol">
      <w:rPr>
        <w:b/>
        <w:bCs/>
        <w:color w:val="FFFFFF" w:themeColor="background1"/>
      </w:rPr>
      <w:tblPr/>
      <w:tcPr>
        <w:tcBorders>
          <w:left w:val="nil"/>
          <w:right w:val="nil"/>
          <w:insideH w:val="nil"/>
          <w:insideV w:val="nil"/>
        </w:tcBorders>
        <w:shd w:val="clear" w:color="auto" w:fill="92D05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339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3399" w:themeFill="accent5"/>
      </w:tcPr>
    </w:tblStylePr>
    <w:tblStylePr w:type="lastCol">
      <w:rPr>
        <w:b/>
        <w:bCs/>
        <w:color w:val="FFFFFF" w:themeColor="background1"/>
      </w:rPr>
      <w:tblPr/>
      <w:tcPr>
        <w:tcBorders>
          <w:left w:val="nil"/>
          <w:right w:val="nil"/>
          <w:insideH w:val="nil"/>
          <w:insideV w:val="nil"/>
        </w:tcBorders>
        <w:shd w:val="clear" w:color="auto" w:fill="FF339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F003C"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F7C80" w:themeColor="accent1"/>
        <w:bottom w:val="single" w:sz="8" w:space="0" w:color="FF7C80" w:themeColor="accent1"/>
      </w:tblBorders>
    </w:tblPr>
    <w:tblStylePr w:type="firstRow">
      <w:rPr>
        <w:rFonts w:asciiTheme="majorHAnsi" w:eastAsiaTheme="majorEastAsia" w:hAnsiTheme="majorHAnsi" w:cstheme="majorBidi"/>
      </w:rPr>
      <w:tblPr/>
      <w:tcPr>
        <w:tcBorders>
          <w:top w:val="nil"/>
          <w:bottom w:val="single" w:sz="8" w:space="0" w:color="FF7C80" w:themeColor="accent1"/>
        </w:tcBorders>
      </w:tcPr>
    </w:tblStylePr>
    <w:tblStylePr w:type="lastRow">
      <w:rPr>
        <w:b/>
        <w:bCs/>
        <w:color w:val="FF003C" w:themeColor="text2"/>
      </w:rPr>
      <w:tblPr/>
      <w:tcPr>
        <w:tcBorders>
          <w:top w:val="single" w:sz="8" w:space="0" w:color="FF7C80" w:themeColor="accent1"/>
          <w:bottom w:val="single" w:sz="8" w:space="0" w:color="FF7C80" w:themeColor="accent1"/>
        </w:tcBorders>
      </w:tcPr>
    </w:tblStylePr>
    <w:tblStylePr w:type="firstCol">
      <w:rPr>
        <w:b/>
        <w:bCs/>
      </w:rPr>
    </w:tblStylePr>
    <w:tblStylePr w:type="lastCol">
      <w:rPr>
        <w:b/>
        <w:bCs/>
      </w:rPr>
      <w:tblPr/>
      <w:tcPr>
        <w:tcBorders>
          <w:top w:val="single" w:sz="8" w:space="0" w:color="FF7C80" w:themeColor="accent1"/>
          <w:bottom w:val="single" w:sz="8" w:space="0" w:color="FF7C80" w:themeColor="accent1"/>
        </w:tcBorders>
      </w:tcPr>
    </w:tblStylePr>
    <w:tblStylePr w:type="band1Vert">
      <w:tblPr/>
      <w:tcPr>
        <w:shd w:val="clear" w:color="auto" w:fill="FFDEDF" w:themeFill="accent1" w:themeFillTint="3F"/>
      </w:tcPr>
    </w:tblStylePr>
    <w:tblStylePr w:type="band1Horz">
      <w:tblPr/>
      <w:tcPr>
        <w:shd w:val="clear" w:color="auto" w:fill="FFDEDF"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FF0066" w:themeColor="accent2"/>
        <w:bottom w:val="single" w:sz="8" w:space="0" w:color="FF0066" w:themeColor="accent2"/>
      </w:tblBorders>
    </w:tblPr>
    <w:tblStylePr w:type="firstRow">
      <w:rPr>
        <w:rFonts w:asciiTheme="majorHAnsi" w:eastAsiaTheme="majorEastAsia" w:hAnsiTheme="majorHAnsi" w:cstheme="majorBidi"/>
      </w:rPr>
      <w:tblPr/>
      <w:tcPr>
        <w:tcBorders>
          <w:top w:val="nil"/>
          <w:bottom w:val="single" w:sz="8" w:space="0" w:color="FF0066" w:themeColor="accent2"/>
        </w:tcBorders>
      </w:tcPr>
    </w:tblStylePr>
    <w:tblStylePr w:type="lastRow">
      <w:rPr>
        <w:b/>
        <w:bCs/>
        <w:color w:val="FF003C" w:themeColor="text2"/>
      </w:rPr>
      <w:tblPr/>
      <w:tcPr>
        <w:tcBorders>
          <w:top w:val="single" w:sz="8" w:space="0" w:color="FF0066" w:themeColor="accent2"/>
          <w:bottom w:val="single" w:sz="8" w:space="0" w:color="FF0066" w:themeColor="accent2"/>
        </w:tcBorders>
      </w:tcPr>
    </w:tblStylePr>
    <w:tblStylePr w:type="firstCol">
      <w:rPr>
        <w:b/>
        <w:bCs/>
      </w:rPr>
    </w:tblStylePr>
    <w:tblStylePr w:type="lastCol">
      <w:rPr>
        <w:b/>
        <w:bCs/>
      </w:rPr>
      <w:tblPr/>
      <w:tcPr>
        <w:tcBorders>
          <w:top w:val="single" w:sz="8" w:space="0" w:color="FF0066" w:themeColor="accent2"/>
          <w:bottom w:val="single" w:sz="8" w:space="0" w:color="FF0066" w:themeColor="accent2"/>
        </w:tcBorders>
      </w:tcPr>
    </w:tblStylePr>
    <w:tblStylePr w:type="band1Vert">
      <w:tblPr/>
      <w:tcPr>
        <w:shd w:val="clear" w:color="auto" w:fill="FFC0D9" w:themeFill="accent2" w:themeFillTint="3F"/>
      </w:tcPr>
    </w:tblStylePr>
    <w:tblStylePr w:type="band1Horz">
      <w:tblPr/>
      <w:tcPr>
        <w:shd w:val="clear" w:color="auto" w:fill="FFC0D9"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C1F0C8" w:themeColor="accent3"/>
        <w:bottom w:val="single" w:sz="8" w:space="0" w:color="C1F0C8" w:themeColor="accent3"/>
      </w:tblBorders>
    </w:tblPr>
    <w:tblStylePr w:type="firstRow">
      <w:rPr>
        <w:rFonts w:asciiTheme="majorHAnsi" w:eastAsiaTheme="majorEastAsia" w:hAnsiTheme="majorHAnsi" w:cstheme="majorBidi"/>
      </w:rPr>
      <w:tblPr/>
      <w:tcPr>
        <w:tcBorders>
          <w:top w:val="nil"/>
          <w:bottom w:val="single" w:sz="8" w:space="0" w:color="C1F0C8" w:themeColor="accent3"/>
        </w:tcBorders>
      </w:tcPr>
    </w:tblStylePr>
    <w:tblStylePr w:type="lastRow">
      <w:rPr>
        <w:b/>
        <w:bCs/>
        <w:color w:val="FF003C" w:themeColor="text2"/>
      </w:rPr>
      <w:tblPr/>
      <w:tcPr>
        <w:tcBorders>
          <w:top w:val="single" w:sz="8" w:space="0" w:color="C1F0C8" w:themeColor="accent3"/>
          <w:bottom w:val="single" w:sz="8" w:space="0" w:color="C1F0C8" w:themeColor="accent3"/>
        </w:tcBorders>
      </w:tcPr>
    </w:tblStylePr>
    <w:tblStylePr w:type="firstCol">
      <w:rPr>
        <w:b/>
        <w:bCs/>
      </w:rPr>
    </w:tblStylePr>
    <w:tblStylePr w:type="lastCol">
      <w:rPr>
        <w:b/>
        <w:bCs/>
      </w:rPr>
      <w:tblPr/>
      <w:tcPr>
        <w:tcBorders>
          <w:top w:val="single" w:sz="8" w:space="0" w:color="C1F0C8" w:themeColor="accent3"/>
          <w:bottom w:val="single" w:sz="8" w:space="0" w:color="C1F0C8" w:themeColor="accent3"/>
        </w:tcBorders>
      </w:tcPr>
    </w:tblStylePr>
    <w:tblStylePr w:type="band1Vert">
      <w:tblPr/>
      <w:tcPr>
        <w:shd w:val="clear" w:color="auto" w:fill="EFFBF1" w:themeFill="accent3" w:themeFillTint="3F"/>
      </w:tcPr>
    </w:tblStylePr>
    <w:tblStylePr w:type="band1Horz">
      <w:tblPr/>
      <w:tcPr>
        <w:shd w:val="clear" w:color="auto" w:fill="EFFBF1"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92D050" w:themeColor="accent4"/>
        <w:bottom w:val="single" w:sz="8" w:space="0" w:color="92D050" w:themeColor="accent4"/>
      </w:tblBorders>
    </w:tblPr>
    <w:tblStylePr w:type="firstRow">
      <w:rPr>
        <w:rFonts w:asciiTheme="majorHAnsi" w:eastAsiaTheme="majorEastAsia" w:hAnsiTheme="majorHAnsi" w:cstheme="majorBidi"/>
      </w:rPr>
      <w:tblPr/>
      <w:tcPr>
        <w:tcBorders>
          <w:top w:val="nil"/>
          <w:bottom w:val="single" w:sz="8" w:space="0" w:color="92D050" w:themeColor="accent4"/>
        </w:tcBorders>
      </w:tcPr>
    </w:tblStylePr>
    <w:tblStylePr w:type="lastRow">
      <w:rPr>
        <w:b/>
        <w:bCs/>
        <w:color w:val="FF003C" w:themeColor="text2"/>
      </w:rPr>
      <w:tblPr/>
      <w:tcPr>
        <w:tcBorders>
          <w:top w:val="single" w:sz="8" w:space="0" w:color="92D050" w:themeColor="accent4"/>
          <w:bottom w:val="single" w:sz="8" w:space="0" w:color="92D050" w:themeColor="accent4"/>
        </w:tcBorders>
      </w:tcPr>
    </w:tblStylePr>
    <w:tblStylePr w:type="firstCol">
      <w:rPr>
        <w:b/>
        <w:bCs/>
      </w:rPr>
    </w:tblStylePr>
    <w:tblStylePr w:type="lastCol">
      <w:rPr>
        <w:b/>
        <w:bCs/>
      </w:rPr>
      <w:tblPr/>
      <w:tcPr>
        <w:tcBorders>
          <w:top w:val="single" w:sz="8" w:space="0" w:color="92D050" w:themeColor="accent4"/>
          <w:bottom w:val="single" w:sz="8" w:space="0" w:color="92D050" w:themeColor="accent4"/>
        </w:tcBorders>
      </w:tcPr>
    </w:tblStylePr>
    <w:tblStylePr w:type="band1Vert">
      <w:tblPr/>
      <w:tcPr>
        <w:shd w:val="clear" w:color="auto" w:fill="E3F3D3" w:themeFill="accent4" w:themeFillTint="3F"/>
      </w:tcPr>
    </w:tblStylePr>
    <w:tblStylePr w:type="band1Horz">
      <w:tblPr/>
      <w:tcPr>
        <w:shd w:val="clear" w:color="auto" w:fill="E3F3D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F3399" w:themeColor="accent5"/>
        <w:bottom w:val="single" w:sz="8" w:space="0" w:color="FF3399" w:themeColor="accent5"/>
      </w:tblBorders>
    </w:tblPr>
    <w:tblStylePr w:type="firstRow">
      <w:rPr>
        <w:rFonts w:asciiTheme="majorHAnsi" w:eastAsiaTheme="majorEastAsia" w:hAnsiTheme="majorHAnsi" w:cstheme="majorBidi"/>
      </w:rPr>
      <w:tblPr/>
      <w:tcPr>
        <w:tcBorders>
          <w:top w:val="nil"/>
          <w:bottom w:val="single" w:sz="8" w:space="0" w:color="FF3399" w:themeColor="accent5"/>
        </w:tcBorders>
      </w:tcPr>
    </w:tblStylePr>
    <w:tblStylePr w:type="lastRow">
      <w:rPr>
        <w:b/>
        <w:bCs/>
        <w:color w:val="FF003C" w:themeColor="text2"/>
      </w:rPr>
      <w:tblPr/>
      <w:tcPr>
        <w:tcBorders>
          <w:top w:val="single" w:sz="8" w:space="0" w:color="FF3399" w:themeColor="accent5"/>
          <w:bottom w:val="single" w:sz="8" w:space="0" w:color="FF3399" w:themeColor="accent5"/>
        </w:tcBorders>
      </w:tcPr>
    </w:tblStylePr>
    <w:tblStylePr w:type="firstCol">
      <w:rPr>
        <w:b/>
        <w:bCs/>
      </w:rPr>
    </w:tblStylePr>
    <w:tblStylePr w:type="lastCol">
      <w:rPr>
        <w:b/>
        <w:bCs/>
      </w:rPr>
      <w:tblPr/>
      <w:tcPr>
        <w:tcBorders>
          <w:top w:val="single" w:sz="8" w:space="0" w:color="FF3399" w:themeColor="accent5"/>
          <w:bottom w:val="single" w:sz="8" w:space="0" w:color="FF3399" w:themeColor="accent5"/>
        </w:tcBorders>
      </w:tcPr>
    </w:tblStylePr>
    <w:tblStylePr w:type="band1Vert">
      <w:tblPr/>
      <w:tcPr>
        <w:shd w:val="clear" w:color="auto" w:fill="FFCCE5" w:themeFill="accent5" w:themeFillTint="3F"/>
      </w:tcPr>
    </w:tblStylePr>
    <w:tblStylePr w:type="band1Horz">
      <w:tblPr/>
      <w:tcPr>
        <w:shd w:val="clear" w:color="auto" w:fill="FFCCE5"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FF003C"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7C80" w:themeColor="accent1"/>
        <w:left w:val="single" w:sz="8" w:space="0" w:color="FF7C80" w:themeColor="accent1"/>
        <w:bottom w:val="single" w:sz="8" w:space="0" w:color="FF7C80" w:themeColor="accent1"/>
        <w:right w:val="single" w:sz="8" w:space="0" w:color="FF7C80" w:themeColor="accent1"/>
      </w:tblBorders>
    </w:tblPr>
    <w:tblStylePr w:type="firstRow">
      <w:rPr>
        <w:sz w:val="24"/>
        <w:szCs w:val="24"/>
      </w:rPr>
      <w:tblPr/>
      <w:tcPr>
        <w:tcBorders>
          <w:top w:val="nil"/>
          <w:left w:val="nil"/>
          <w:bottom w:val="single" w:sz="24" w:space="0" w:color="FF7C80" w:themeColor="accent1"/>
          <w:right w:val="nil"/>
          <w:insideH w:val="nil"/>
          <w:insideV w:val="nil"/>
        </w:tcBorders>
        <w:shd w:val="clear" w:color="auto" w:fill="FFFFFF" w:themeFill="background1"/>
      </w:tcPr>
    </w:tblStylePr>
    <w:tblStylePr w:type="lastRow">
      <w:tblPr/>
      <w:tcPr>
        <w:tcBorders>
          <w:top w:val="single" w:sz="8" w:space="0" w:color="FF7C8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C80" w:themeColor="accent1"/>
          <w:insideH w:val="nil"/>
          <w:insideV w:val="nil"/>
        </w:tcBorders>
        <w:shd w:val="clear" w:color="auto" w:fill="FFFFFF" w:themeFill="background1"/>
      </w:tcPr>
    </w:tblStylePr>
    <w:tblStylePr w:type="lastCol">
      <w:tblPr/>
      <w:tcPr>
        <w:tcBorders>
          <w:top w:val="nil"/>
          <w:left w:val="single" w:sz="8" w:space="0" w:color="FF7C8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DF" w:themeFill="accent1" w:themeFillTint="3F"/>
      </w:tcPr>
    </w:tblStylePr>
    <w:tblStylePr w:type="band1Horz">
      <w:tblPr/>
      <w:tcPr>
        <w:tcBorders>
          <w:top w:val="nil"/>
          <w:bottom w:val="nil"/>
          <w:insideH w:val="nil"/>
          <w:insideV w:val="nil"/>
        </w:tcBorders>
        <w:shd w:val="clear" w:color="auto" w:fill="FFDED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66" w:themeColor="accent2"/>
        <w:left w:val="single" w:sz="8" w:space="0" w:color="FF0066" w:themeColor="accent2"/>
        <w:bottom w:val="single" w:sz="8" w:space="0" w:color="FF0066" w:themeColor="accent2"/>
        <w:right w:val="single" w:sz="8" w:space="0" w:color="FF0066" w:themeColor="accent2"/>
      </w:tblBorders>
    </w:tblPr>
    <w:tblStylePr w:type="firstRow">
      <w:rPr>
        <w:sz w:val="24"/>
        <w:szCs w:val="24"/>
      </w:rPr>
      <w:tblPr/>
      <w:tcPr>
        <w:tcBorders>
          <w:top w:val="nil"/>
          <w:left w:val="nil"/>
          <w:bottom w:val="single" w:sz="24" w:space="0" w:color="FF0066" w:themeColor="accent2"/>
          <w:right w:val="nil"/>
          <w:insideH w:val="nil"/>
          <w:insideV w:val="nil"/>
        </w:tcBorders>
        <w:shd w:val="clear" w:color="auto" w:fill="FFFFFF" w:themeFill="background1"/>
      </w:tcPr>
    </w:tblStylePr>
    <w:tblStylePr w:type="lastRow">
      <w:tblPr/>
      <w:tcPr>
        <w:tcBorders>
          <w:top w:val="single" w:sz="8" w:space="0" w:color="FF006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66" w:themeColor="accent2"/>
          <w:insideH w:val="nil"/>
          <w:insideV w:val="nil"/>
        </w:tcBorders>
        <w:shd w:val="clear" w:color="auto" w:fill="FFFFFF" w:themeFill="background1"/>
      </w:tcPr>
    </w:tblStylePr>
    <w:tblStylePr w:type="lastCol">
      <w:tblPr/>
      <w:tcPr>
        <w:tcBorders>
          <w:top w:val="nil"/>
          <w:left w:val="single" w:sz="8" w:space="0" w:color="FF006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D9" w:themeFill="accent2" w:themeFillTint="3F"/>
      </w:tcPr>
    </w:tblStylePr>
    <w:tblStylePr w:type="band1Horz">
      <w:tblPr/>
      <w:tcPr>
        <w:tcBorders>
          <w:top w:val="nil"/>
          <w:bottom w:val="nil"/>
          <w:insideH w:val="nil"/>
          <w:insideV w:val="nil"/>
        </w:tcBorders>
        <w:shd w:val="clear" w:color="auto" w:fill="FFC0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F0C8" w:themeColor="accent3"/>
        <w:left w:val="single" w:sz="8" w:space="0" w:color="C1F0C8" w:themeColor="accent3"/>
        <w:bottom w:val="single" w:sz="8" w:space="0" w:color="C1F0C8" w:themeColor="accent3"/>
        <w:right w:val="single" w:sz="8" w:space="0" w:color="C1F0C8" w:themeColor="accent3"/>
      </w:tblBorders>
    </w:tblPr>
    <w:tblStylePr w:type="firstRow">
      <w:rPr>
        <w:sz w:val="24"/>
        <w:szCs w:val="24"/>
      </w:rPr>
      <w:tblPr/>
      <w:tcPr>
        <w:tcBorders>
          <w:top w:val="nil"/>
          <w:left w:val="nil"/>
          <w:bottom w:val="single" w:sz="24" w:space="0" w:color="C1F0C8" w:themeColor="accent3"/>
          <w:right w:val="nil"/>
          <w:insideH w:val="nil"/>
          <w:insideV w:val="nil"/>
        </w:tcBorders>
        <w:shd w:val="clear" w:color="auto" w:fill="FFFFFF" w:themeFill="background1"/>
      </w:tcPr>
    </w:tblStylePr>
    <w:tblStylePr w:type="lastRow">
      <w:tblPr/>
      <w:tcPr>
        <w:tcBorders>
          <w:top w:val="single" w:sz="8" w:space="0" w:color="C1F0C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F0C8" w:themeColor="accent3"/>
          <w:insideH w:val="nil"/>
          <w:insideV w:val="nil"/>
        </w:tcBorders>
        <w:shd w:val="clear" w:color="auto" w:fill="FFFFFF" w:themeFill="background1"/>
      </w:tcPr>
    </w:tblStylePr>
    <w:tblStylePr w:type="lastCol">
      <w:tblPr/>
      <w:tcPr>
        <w:tcBorders>
          <w:top w:val="nil"/>
          <w:left w:val="single" w:sz="8" w:space="0" w:color="C1F0C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BF1" w:themeFill="accent3" w:themeFillTint="3F"/>
      </w:tcPr>
    </w:tblStylePr>
    <w:tblStylePr w:type="band1Horz">
      <w:tblPr/>
      <w:tcPr>
        <w:tcBorders>
          <w:top w:val="nil"/>
          <w:bottom w:val="nil"/>
          <w:insideH w:val="nil"/>
          <w:insideV w:val="nil"/>
        </w:tcBorders>
        <w:shd w:val="clear" w:color="auto" w:fill="EFFB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2D050" w:themeColor="accent4"/>
        <w:left w:val="single" w:sz="8" w:space="0" w:color="92D050" w:themeColor="accent4"/>
        <w:bottom w:val="single" w:sz="8" w:space="0" w:color="92D050" w:themeColor="accent4"/>
        <w:right w:val="single" w:sz="8" w:space="0" w:color="92D050" w:themeColor="accent4"/>
      </w:tblBorders>
    </w:tblPr>
    <w:tblStylePr w:type="firstRow">
      <w:rPr>
        <w:sz w:val="24"/>
        <w:szCs w:val="24"/>
      </w:rPr>
      <w:tblPr/>
      <w:tcPr>
        <w:tcBorders>
          <w:top w:val="nil"/>
          <w:left w:val="nil"/>
          <w:bottom w:val="single" w:sz="24" w:space="0" w:color="92D050" w:themeColor="accent4"/>
          <w:right w:val="nil"/>
          <w:insideH w:val="nil"/>
          <w:insideV w:val="nil"/>
        </w:tcBorders>
        <w:shd w:val="clear" w:color="auto" w:fill="FFFFFF" w:themeFill="background1"/>
      </w:tcPr>
    </w:tblStylePr>
    <w:tblStylePr w:type="lastRow">
      <w:tblPr/>
      <w:tcPr>
        <w:tcBorders>
          <w:top w:val="single" w:sz="8" w:space="0" w:color="92D05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2D050" w:themeColor="accent4"/>
          <w:insideH w:val="nil"/>
          <w:insideV w:val="nil"/>
        </w:tcBorders>
        <w:shd w:val="clear" w:color="auto" w:fill="FFFFFF" w:themeFill="background1"/>
      </w:tcPr>
    </w:tblStylePr>
    <w:tblStylePr w:type="lastCol">
      <w:tblPr/>
      <w:tcPr>
        <w:tcBorders>
          <w:top w:val="nil"/>
          <w:left w:val="single" w:sz="8" w:space="0" w:color="92D05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F3D3" w:themeFill="accent4" w:themeFillTint="3F"/>
      </w:tcPr>
    </w:tblStylePr>
    <w:tblStylePr w:type="band1Horz">
      <w:tblPr/>
      <w:tcPr>
        <w:tcBorders>
          <w:top w:val="nil"/>
          <w:bottom w:val="nil"/>
          <w:insideH w:val="nil"/>
          <w:insideV w:val="nil"/>
        </w:tcBorders>
        <w:shd w:val="clear" w:color="auto" w:fill="E3F3D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3399" w:themeColor="accent5"/>
        <w:left w:val="single" w:sz="8" w:space="0" w:color="FF3399" w:themeColor="accent5"/>
        <w:bottom w:val="single" w:sz="8" w:space="0" w:color="FF3399" w:themeColor="accent5"/>
        <w:right w:val="single" w:sz="8" w:space="0" w:color="FF3399" w:themeColor="accent5"/>
      </w:tblBorders>
    </w:tblPr>
    <w:tblStylePr w:type="firstRow">
      <w:rPr>
        <w:sz w:val="24"/>
        <w:szCs w:val="24"/>
      </w:rPr>
      <w:tblPr/>
      <w:tcPr>
        <w:tcBorders>
          <w:top w:val="nil"/>
          <w:left w:val="nil"/>
          <w:bottom w:val="single" w:sz="24" w:space="0" w:color="FF3399" w:themeColor="accent5"/>
          <w:right w:val="nil"/>
          <w:insideH w:val="nil"/>
          <w:insideV w:val="nil"/>
        </w:tcBorders>
        <w:shd w:val="clear" w:color="auto" w:fill="FFFFFF" w:themeFill="background1"/>
      </w:tcPr>
    </w:tblStylePr>
    <w:tblStylePr w:type="lastRow">
      <w:tblPr/>
      <w:tcPr>
        <w:tcBorders>
          <w:top w:val="single" w:sz="8" w:space="0" w:color="FF339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3399" w:themeColor="accent5"/>
          <w:insideH w:val="nil"/>
          <w:insideV w:val="nil"/>
        </w:tcBorders>
        <w:shd w:val="clear" w:color="auto" w:fill="FFFFFF" w:themeFill="background1"/>
      </w:tcPr>
    </w:tblStylePr>
    <w:tblStylePr w:type="lastCol">
      <w:tblPr/>
      <w:tcPr>
        <w:tcBorders>
          <w:top w:val="nil"/>
          <w:left w:val="single" w:sz="8" w:space="0" w:color="FF339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CE5" w:themeFill="accent5" w:themeFillTint="3F"/>
      </w:tcPr>
    </w:tblStylePr>
    <w:tblStylePr w:type="band1Horz">
      <w:tblPr/>
      <w:tcPr>
        <w:tcBorders>
          <w:top w:val="nil"/>
          <w:bottom w:val="nil"/>
          <w:insideH w:val="nil"/>
          <w:insideV w:val="nil"/>
        </w:tcBorders>
        <w:shd w:val="clear" w:color="auto" w:fill="FFCCE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F9C9F" w:themeColor="accent1" w:themeTint="BF"/>
        <w:left w:val="single" w:sz="8" w:space="0" w:color="FF9C9F" w:themeColor="accent1" w:themeTint="BF"/>
        <w:bottom w:val="single" w:sz="8" w:space="0" w:color="FF9C9F" w:themeColor="accent1" w:themeTint="BF"/>
        <w:right w:val="single" w:sz="8" w:space="0" w:color="FF9C9F" w:themeColor="accent1" w:themeTint="BF"/>
        <w:insideH w:val="single" w:sz="8" w:space="0" w:color="FF9C9F" w:themeColor="accent1" w:themeTint="BF"/>
        <w:insideV w:val="single" w:sz="8" w:space="0" w:color="FF9C9F" w:themeColor="accent1" w:themeTint="BF"/>
      </w:tblBorders>
    </w:tblPr>
    <w:tcPr>
      <w:shd w:val="clear" w:color="auto" w:fill="FFDEDF" w:themeFill="accent1" w:themeFillTint="3F"/>
    </w:tcPr>
    <w:tblStylePr w:type="firstRow">
      <w:rPr>
        <w:b/>
        <w:bCs/>
      </w:rPr>
    </w:tblStylePr>
    <w:tblStylePr w:type="lastRow">
      <w:rPr>
        <w:b/>
        <w:bCs/>
      </w:rPr>
      <w:tblPr/>
      <w:tcPr>
        <w:tcBorders>
          <w:top w:val="single" w:sz="18" w:space="0" w:color="FF9C9F" w:themeColor="accent1" w:themeTint="BF"/>
        </w:tcBorders>
      </w:tcPr>
    </w:tblStylePr>
    <w:tblStylePr w:type="firstCol">
      <w:rPr>
        <w:b/>
        <w:bCs/>
      </w:rPr>
    </w:tblStylePr>
    <w:tblStylePr w:type="lastCol">
      <w:rPr>
        <w:b/>
        <w:bCs/>
      </w:rPr>
    </w:tblStylePr>
    <w:tblStylePr w:type="band1Vert">
      <w:tblPr/>
      <w:tcPr>
        <w:shd w:val="clear" w:color="auto" w:fill="FFBDBF" w:themeFill="accent1" w:themeFillTint="7F"/>
      </w:tcPr>
    </w:tblStylePr>
    <w:tblStylePr w:type="band1Horz">
      <w:tblPr/>
      <w:tcPr>
        <w:shd w:val="clear" w:color="auto" w:fill="FFBDB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F408C" w:themeColor="accent2" w:themeTint="BF"/>
        <w:left w:val="single" w:sz="8" w:space="0" w:color="FF408C" w:themeColor="accent2" w:themeTint="BF"/>
        <w:bottom w:val="single" w:sz="8" w:space="0" w:color="FF408C" w:themeColor="accent2" w:themeTint="BF"/>
        <w:right w:val="single" w:sz="8" w:space="0" w:color="FF408C" w:themeColor="accent2" w:themeTint="BF"/>
        <w:insideH w:val="single" w:sz="8" w:space="0" w:color="FF408C" w:themeColor="accent2" w:themeTint="BF"/>
        <w:insideV w:val="single" w:sz="8" w:space="0" w:color="FF408C" w:themeColor="accent2" w:themeTint="BF"/>
      </w:tblBorders>
    </w:tblPr>
    <w:tcPr>
      <w:shd w:val="clear" w:color="auto" w:fill="FFC0D9" w:themeFill="accent2" w:themeFillTint="3F"/>
    </w:tcPr>
    <w:tblStylePr w:type="firstRow">
      <w:rPr>
        <w:b/>
        <w:bCs/>
      </w:rPr>
    </w:tblStylePr>
    <w:tblStylePr w:type="lastRow">
      <w:rPr>
        <w:b/>
        <w:bCs/>
      </w:rPr>
      <w:tblPr/>
      <w:tcPr>
        <w:tcBorders>
          <w:top w:val="single" w:sz="18" w:space="0" w:color="FF408C" w:themeColor="accent2" w:themeTint="BF"/>
        </w:tcBorders>
      </w:tcPr>
    </w:tblStylePr>
    <w:tblStylePr w:type="firstCol">
      <w:rPr>
        <w:b/>
        <w:bCs/>
      </w:rPr>
    </w:tblStylePr>
    <w:tblStylePr w:type="lastCol">
      <w:rPr>
        <w:b/>
        <w:bCs/>
      </w:rPr>
    </w:tblStylePr>
    <w:tblStylePr w:type="band1Vert">
      <w:tblPr/>
      <w:tcPr>
        <w:shd w:val="clear" w:color="auto" w:fill="FF80B2" w:themeFill="accent2" w:themeFillTint="7F"/>
      </w:tcPr>
    </w:tblStylePr>
    <w:tblStylePr w:type="band1Horz">
      <w:tblPr/>
      <w:tcPr>
        <w:shd w:val="clear" w:color="auto" w:fill="FF80B2"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D0F3D5" w:themeColor="accent3" w:themeTint="BF"/>
        <w:left w:val="single" w:sz="8" w:space="0" w:color="D0F3D5" w:themeColor="accent3" w:themeTint="BF"/>
        <w:bottom w:val="single" w:sz="8" w:space="0" w:color="D0F3D5" w:themeColor="accent3" w:themeTint="BF"/>
        <w:right w:val="single" w:sz="8" w:space="0" w:color="D0F3D5" w:themeColor="accent3" w:themeTint="BF"/>
        <w:insideH w:val="single" w:sz="8" w:space="0" w:color="D0F3D5" w:themeColor="accent3" w:themeTint="BF"/>
        <w:insideV w:val="single" w:sz="8" w:space="0" w:color="D0F3D5" w:themeColor="accent3" w:themeTint="BF"/>
      </w:tblBorders>
    </w:tblPr>
    <w:tcPr>
      <w:shd w:val="clear" w:color="auto" w:fill="EFFBF1" w:themeFill="accent3" w:themeFillTint="3F"/>
    </w:tcPr>
    <w:tblStylePr w:type="firstRow">
      <w:rPr>
        <w:b/>
        <w:bCs/>
      </w:rPr>
    </w:tblStylePr>
    <w:tblStylePr w:type="lastRow">
      <w:rPr>
        <w:b/>
        <w:bCs/>
      </w:rPr>
      <w:tblPr/>
      <w:tcPr>
        <w:tcBorders>
          <w:top w:val="single" w:sz="18" w:space="0" w:color="D0F3D5" w:themeColor="accent3" w:themeTint="BF"/>
        </w:tcBorders>
      </w:tcPr>
    </w:tblStylePr>
    <w:tblStylePr w:type="firstCol">
      <w:rPr>
        <w:b/>
        <w:bCs/>
      </w:rPr>
    </w:tblStylePr>
    <w:tblStylePr w:type="lastCol">
      <w:rPr>
        <w:b/>
        <w:bCs/>
      </w:rPr>
    </w:tblStylePr>
    <w:tblStylePr w:type="band1Vert">
      <w:tblPr/>
      <w:tcPr>
        <w:shd w:val="clear" w:color="auto" w:fill="DFF7E3" w:themeFill="accent3" w:themeFillTint="7F"/>
      </w:tcPr>
    </w:tblStylePr>
    <w:tblStylePr w:type="band1Horz">
      <w:tblPr/>
      <w:tcPr>
        <w:shd w:val="clear" w:color="auto" w:fill="DFF7E3"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ADDB7B" w:themeColor="accent4" w:themeTint="BF"/>
        <w:left w:val="single" w:sz="8" w:space="0" w:color="ADDB7B" w:themeColor="accent4" w:themeTint="BF"/>
        <w:bottom w:val="single" w:sz="8" w:space="0" w:color="ADDB7B" w:themeColor="accent4" w:themeTint="BF"/>
        <w:right w:val="single" w:sz="8" w:space="0" w:color="ADDB7B" w:themeColor="accent4" w:themeTint="BF"/>
        <w:insideH w:val="single" w:sz="8" w:space="0" w:color="ADDB7B" w:themeColor="accent4" w:themeTint="BF"/>
        <w:insideV w:val="single" w:sz="8" w:space="0" w:color="ADDB7B" w:themeColor="accent4" w:themeTint="BF"/>
      </w:tblBorders>
    </w:tblPr>
    <w:tcPr>
      <w:shd w:val="clear" w:color="auto" w:fill="E3F3D3" w:themeFill="accent4" w:themeFillTint="3F"/>
    </w:tcPr>
    <w:tblStylePr w:type="firstRow">
      <w:rPr>
        <w:b/>
        <w:bCs/>
      </w:rPr>
    </w:tblStylePr>
    <w:tblStylePr w:type="lastRow">
      <w:rPr>
        <w:b/>
        <w:bCs/>
      </w:rPr>
      <w:tblPr/>
      <w:tcPr>
        <w:tcBorders>
          <w:top w:val="single" w:sz="18" w:space="0" w:color="ADDB7B" w:themeColor="accent4" w:themeTint="BF"/>
        </w:tcBorders>
      </w:tcPr>
    </w:tblStylePr>
    <w:tblStylePr w:type="firstCol">
      <w:rPr>
        <w:b/>
        <w:bCs/>
      </w:rPr>
    </w:tblStylePr>
    <w:tblStylePr w:type="lastCol">
      <w:rPr>
        <w:b/>
        <w:bCs/>
      </w:rPr>
    </w:tblStylePr>
    <w:tblStylePr w:type="band1Vert">
      <w:tblPr/>
      <w:tcPr>
        <w:shd w:val="clear" w:color="auto" w:fill="C8E7A7" w:themeFill="accent4" w:themeFillTint="7F"/>
      </w:tcPr>
    </w:tblStylePr>
    <w:tblStylePr w:type="band1Horz">
      <w:tblPr/>
      <w:tcPr>
        <w:shd w:val="clear" w:color="auto" w:fill="C8E7A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F66B2" w:themeColor="accent5" w:themeTint="BF"/>
        <w:left w:val="single" w:sz="8" w:space="0" w:color="FF66B2" w:themeColor="accent5" w:themeTint="BF"/>
        <w:bottom w:val="single" w:sz="8" w:space="0" w:color="FF66B2" w:themeColor="accent5" w:themeTint="BF"/>
        <w:right w:val="single" w:sz="8" w:space="0" w:color="FF66B2" w:themeColor="accent5" w:themeTint="BF"/>
        <w:insideH w:val="single" w:sz="8" w:space="0" w:color="FF66B2" w:themeColor="accent5" w:themeTint="BF"/>
        <w:insideV w:val="single" w:sz="8" w:space="0" w:color="FF66B2" w:themeColor="accent5" w:themeTint="BF"/>
      </w:tblBorders>
    </w:tblPr>
    <w:tcPr>
      <w:shd w:val="clear" w:color="auto" w:fill="FFCCE5" w:themeFill="accent5" w:themeFillTint="3F"/>
    </w:tcPr>
    <w:tblStylePr w:type="firstRow">
      <w:rPr>
        <w:b/>
        <w:bCs/>
      </w:rPr>
    </w:tblStylePr>
    <w:tblStylePr w:type="lastRow">
      <w:rPr>
        <w:b/>
        <w:bCs/>
      </w:rPr>
      <w:tblPr/>
      <w:tcPr>
        <w:tcBorders>
          <w:top w:val="single" w:sz="18" w:space="0" w:color="FF66B2" w:themeColor="accent5" w:themeTint="BF"/>
        </w:tcBorders>
      </w:tcPr>
    </w:tblStylePr>
    <w:tblStylePr w:type="firstCol">
      <w:rPr>
        <w:b/>
        <w:bCs/>
      </w:rPr>
    </w:tblStylePr>
    <w:tblStylePr w:type="lastCol">
      <w:rPr>
        <w:b/>
        <w:bCs/>
      </w:rPr>
    </w:tblStylePr>
    <w:tblStylePr w:type="band1Vert">
      <w:tblPr/>
      <w:tcPr>
        <w:shd w:val="clear" w:color="auto" w:fill="FF99CB" w:themeFill="accent5" w:themeFillTint="7F"/>
      </w:tcPr>
    </w:tblStylePr>
    <w:tblStylePr w:type="band1Horz">
      <w:tblPr/>
      <w:tcPr>
        <w:shd w:val="clear" w:color="auto" w:fill="FF99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7C80" w:themeColor="accent1"/>
        <w:left w:val="single" w:sz="8" w:space="0" w:color="FF7C80" w:themeColor="accent1"/>
        <w:bottom w:val="single" w:sz="8" w:space="0" w:color="FF7C80" w:themeColor="accent1"/>
        <w:right w:val="single" w:sz="8" w:space="0" w:color="FF7C80" w:themeColor="accent1"/>
        <w:insideH w:val="single" w:sz="8" w:space="0" w:color="FF7C80" w:themeColor="accent1"/>
        <w:insideV w:val="single" w:sz="8" w:space="0" w:color="FF7C80" w:themeColor="accent1"/>
      </w:tblBorders>
    </w:tblPr>
    <w:tcPr>
      <w:shd w:val="clear" w:color="auto" w:fill="FFDEDF" w:themeFill="accent1" w:themeFillTint="3F"/>
    </w:tcPr>
    <w:tblStylePr w:type="firstRow">
      <w:rPr>
        <w:b/>
        <w:bCs/>
        <w:color w:val="000000" w:themeColor="text1"/>
      </w:rPr>
      <w:tblPr/>
      <w:tcPr>
        <w:shd w:val="clear" w:color="auto" w:fill="FFF2F2"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E5" w:themeFill="accent1" w:themeFillTint="33"/>
      </w:tcPr>
    </w:tblStylePr>
    <w:tblStylePr w:type="band1Vert">
      <w:tblPr/>
      <w:tcPr>
        <w:shd w:val="clear" w:color="auto" w:fill="FFBDBF" w:themeFill="accent1" w:themeFillTint="7F"/>
      </w:tcPr>
    </w:tblStylePr>
    <w:tblStylePr w:type="band1Horz">
      <w:tblPr/>
      <w:tcPr>
        <w:tcBorders>
          <w:insideH w:val="single" w:sz="6" w:space="0" w:color="FF7C80" w:themeColor="accent1"/>
          <w:insideV w:val="single" w:sz="6" w:space="0" w:color="FF7C80" w:themeColor="accent1"/>
        </w:tcBorders>
        <w:shd w:val="clear" w:color="auto" w:fill="FFBDB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66" w:themeColor="accent2"/>
        <w:left w:val="single" w:sz="8" w:space="0" w:color="FF0066" w:themeColor="accent2"/>
        <w:bottom w:val="single" w:sz="8" w:space="0" w:color="FF0066" w:themeColor="accent2"/>
        <w:right w:val="single" w:sz="8" w:space="0" w:color="FF0066" w:themeColor="accent2"/>
        <w:insideH w:val="single" w:sz="8" w:space="0" w:color="FF0066" w:themeColor="accent2"/>
        <w:insideV w:val="single" w:sz="8" w:space="0" w:color="FF0066" w:themeColor="accent2"/>
      </w:tblBorders>
    </w:tblPr>
    <w:tcPr>
      <w:shd w:val="clear" w:color="auto" w:fill="FFC0D9" w:themeFill="accent2" w:themeFillTint="3F"/>
    </w:tcPr>
    <w:tblStylePr w:type="firstRow">
      <w:rPr>
        <w:b/>
        <w:bCs/>
        <w:color w:val="000000" w:themeColor="text1"/>
      </w:rPr>
      <w:tblPr/>
      <w:tcPr>
        <w:shd w:val="clear" w:color="auto" w:fill="FFE6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E0" w:themeFill="accent2" w:themeFillTint="33"/>
      </w:tcPr>
    </w:tblStylePr>
    <w:tblStylePr w:type="band1Vert">
      <w:tblPr/>
      <w:tcPr>
        <w:shd w:val="clear" w:color="auto" w:fill="FF80B2" w:themeFill="accent2" w:themeFillTint="7F"/>
      </w:tcPr>
    </w:tblStylePr>
    <w:tblStylePr w:type="band1Horz">
      <w:tblPr/>
      <w:tcPr>
        <w:tcBorders>
          <w:insideH w:val="single" w:sz="6" w:space="0" w:color="FF0066" w:themeColor="accent2"/>
          <w:insideV w:val="single" w:sz="6" w:space="0" w:color="FF0066" w:themeColor="accent2"/>
        </w:tcBorders>
        <w:shd w:val="clear" w:color="auto" w:fill="FF80B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F0C8" w:themeColor="accent3"/>
        <w:left w:val="single" w:sz="8" w:space="0" w:color="C1F0C8" w:themeColor="accent3"/>
        <w:bottom w:val="single" w:sz="8" w:space="0" w:color="C1F0C8" w:themeColor="accent3"/>
        <w:right w:val="single" w:sz="8" w:space="0" w:color="C1F0C8" w:themeColor="accent3"/>
        <w:insideH w:val="single" w:sz="8" w:space="0" w:color="C1F0C8" w:themeColor="accent3"/>
        <w:insideV w:val="single" w:sz="8" w:space="0" w:color="C1F0C8" w:themeColor="accent3"/>
      </w:tblBorders>
    </w:tblPr>
    <w:tcPr>
      <w:shd w:val="clear" w:color="auto" w:fill="EFFBF1" w:themeFill="accent3" w:themeFillTint="3F"/>
    </w:tcPr>
    <w:tblStylePr w:type="firstRow">
      <w:rPr>
        <w:b/>
        <w:bCs/>
        <w:color w:val="000000" w:themeColor="text1"/>
      </w:rPr>
      <w:tblPr/>
      <w:tcPr>
        <w:shd w:val="clear" w:color="auto" w:fill="F8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CF3" w:themeFill="accent3" w:themeFillTint="33"/>
      </w:tcPr>
    </w:tblStylePr>
    <w:tblStylePr w:type="band1Vert">
      <w:tblPr/>
      <w:tcPr>
        <w:shd w:val="clear" w:color="auto" w:fill="DFF7E3" w:themeFill="accent3" w:themeFillTint="7F"/>
      </w:tcPr>
    </w:tblStylePr>
    <w:tblStylePr w:type="band1Horz">
      <w:tblPr/>
      <w:tcPr>
        <w:tcBorders>
          <w:insideH w:val="single" w:sz="6" w:space="0" w:color="C1F0C8" w:themeColor="accent3"/>
          <w:insideV w:val="single" w:sz="6" w:space="0" w:color="C1F0C8" w:themeColor="accent3"/>
        </w:tcBorders>
        <w:shd w:val="clear" w:color="auto" w:fill="DFF7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2D050" w:themeColor="accent4"/>
        <w:left w:val="single" w:sz="8" w:space="0" w:color="92D050" w:themeColor="accent4"/>
        <w:bottom w:val="single" w:sz="8" w:space="0" w:color="92D050" w:themeColor="accent4"/>
        <w:right w:val="single" w:sz="8" w:space="0" w:color="92D050" w:themeColor="accent4"/>
        <w:insideH w:val="single" w:sz="8" w:space="0" w:color="92D050" w:themeColor="accent4"/>
        <w:insideV w:val="single" w:sz="8" w:space="0" w:color="92D050" w:themeColor="accent4"/>
      </w:tblBorders>
    </w:tblPr>
    <w:tcPr>
      <w:shd w:val="clear" w:color="auto" w:fill="E3F3D3" w:themeFill="accent4" w:themeFillTint="3F"/>
    </w:tcPr>
    <w:tblStylePr w:type="firstRow">
      <w:rPr>
        <w:b/>
        <w:bCs/>
        <w:color w:val="000000" w:themeColor="text1"/>
      </w:rPr>
      <w:tblPr/>
      <w:tcPr>
        <w:shd w:val="clear" w:color="auto" w:fill="F4FAE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5DB" w:themeFill="accent4" w:themeFillTint="33"/>
      </w:tcPr>
    </w:tblStylePr>
    <w:tblStylePr w:type="band1Vert">
      <w:tblPr/>
      <w:tcPr>
        <w:shd w:val="clear" w:color="auto" w:fill="C8E7A7" w:themeFill="accent4" w:themeFillTint="7F"/>
      </w:tcPr>
    </w:tblStylePr>
    <w:tblStylePr w:type="band1Horz">
      <w:tblPr/>
      <w:tcPr>
        <w:tcBorders>
          <w:insideH w:val="single" w:sz="6" w:space="0" w:color="92D050" w:themeColor="accent4"/>
          <w:insideV w:val="single" w:sz="6" w:space="0" w:color="92D050" w:themeColor="accent4"/>
        </w:tcBorders>
        <w:shd w:val="clear" w:color="auto" w:fill="C8E7A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3399" w:themeColor="accent5"/>
        <w:left w:val="single" w:sz="8" w:space="0" w:color="FF3399" w:themeColor="accent5"/>
        <w:bottom w:val="single" w:sz="8" w:space="0" w:color="FF3399" w:themeColor="accent5"/>
        <w:right w:val="single" w:sz="8" w:space="0" w:color="FF3399" w:themeColor="accent5"/>
        <w:insideH w:val="single" w:sz="8" w:space="0" w:color="FF3399" w:themeColor="accent5"/>
        <w:insideV w:val="single" w:sz="8" w:space="0" w:color="FF3399" w:themeColor="accent5"/>
      </w:tblBorders>
    </w:tblPr>
    <w:tcPr>
      <w:shd w:val="clear" w:color="auto" w:fill="FFCCE5" w:themeFill="accent5" w:themeFillTint="3F"/>
    </w:tcPr>
    <w:tblStylePr w:type="firstRow">
      <w:rPr>
        <w:b/>
        <w:bCs/>
        <w:color w:val="000000" w:themeColor="text1"/>
      </w:rPr>
      <w:tblPr/>
      <w:tcPr>
        <w:shd w:val="clear" w:color="auto" w:fill="FFEBF4"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6EA" w:themeFill="accent5" w:themeFillTint="33"/>
      </w:tcPr>
    </w:tblStylePr>
    <w:tblStylePr w:type="band1Vert">
      <w:tblPr/>
      <w:tcPr>
        <w:shd w:val="clear" w:color="auto" w:fill="FF99CB" w:themeFill="accent5" w:themeFillTint="7F"/>
      </w:tcPr>
    </w:tblStylePr>
    <w:tblStylePr w:type="band1Horz">
      <w:tblPr/>
      <w:tcPr>
        <w:tcBorders>
          <w:insideH w:val="single" w:sz="6" w:space="0" w:color="FF3399" w:themeColor="accent5"/>
          <w:insideV w:val="single" w:sz="6" w:space="0" w:color="FF3399" w:themeColor="accent5"/>
        </w:tcBorders>
        <w:shd w:val="clear" w:color="auto" w:fill="FF99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D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C8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C8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C8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C8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DB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DB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6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6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6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6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B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B2"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FB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F0C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F0C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F0C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F0C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F7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F7E3"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F3D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2D05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2D05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2D05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2D05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E7A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E7A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E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339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339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339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339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9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9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F7C8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C000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F1C2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F1C22" w:themeFill="accent1" w:themeFillShade="BF"/>
      </w:tcPr>
    </w:tblStylePr>
    <w:tblStylePr w:type="band1Vert">
      <w:tblPr/>
      <w:tcPr>
        <w:tcBorders>
          <w:top w:val="nil"/>
          <w:left w:val="nil"/>
          <w:bottom w:val="nil"/>
          <w:right w:val="nil"/>
          <w:insideH w:val="nil"/>
          <w:insideV w:val="nil"/>
        </w:tcBorders>
        <w:shd w:val="clear" w:color="auto" w:fill="FF1C22" w:themeFill="accent1" w:themeFillShade="BF"/>
      </w:tcPr>
    </w:tblStylePr>
    <w:tblStylePr w:type="band1Horz">
      <w:tblPr/>
      <w:tcPr>
        <w:tcBorders>
          <w:top w:val="nil"/>
          <w:left w:val="nil"/>
          <w:bottom w:val="nil"/>
          <w:right w:val="nil"/>
          <w:insideH w:val="nil"/>
          <w:insideV w:val="nil"/>
        </w:tcBorders>
        <w:shd w:val="clear" w:color="auto" w:fill="FF1C22"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F006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3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4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4C" w:themeFill="accent2" w:themeFillShade="BF"/>
      </w:tcPr>
    </w:tblStylePr>
    <w:tblStylePr w:type="band1Vert">
      <w:tblPr/>
      <w:tcPr>
        <w:tcBorders>
          <w:top w:val="nil"/>
          <w:left w:val="nil"/>
          <w:bottom w:val="nil"/>
          <w:right w:val="nil"/>
          <w:insideH w:val="nil"/>
          <w:insideV w:val="nil"/>
        </w:tcBorders>
        <w:shd w:val="clear" w:color="auto" w:fill="BF004C" w:themeFill="accent2" w:themeFillShade="BF"/>
      </w:tcPr>
    </w:tblStylePr>
    <w:tblStylePr w:type="band1Horz">
      <w:tblPr/>
      <w:tcPr>
        <w:tcBorders>
          <w:top w:val="nil"/>
          <w:left w:val="nil"/>
          <w:bottom w:val="nil"/>
          <w:right w:val="nil"/>
          <w:insideH w:val="nil"/>
          <w:insideV w:val="nil"/>
        </w:tcBorders>
        <w:shd w:val="clear" w:color="auto" w:fill="BF004C"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C1F0C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AD3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9DA7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9DA79" w:themeFill="accent3" w:themeFillShade="BF"/>
      </w:tcPr>
    </w:tblStylePr>
    <w:tblStylePr w:type="band1Vert">
      <w:tblPr/>
      <w:tcPr>
        <w:tcBorders>
          <w:top w:val="nil"/>
          <w:left w:val="nil"/>
          <w:bottom w:val="nil"/>
          <w:right w:val="nil"/>
          <w:insideH w:val="nil"/>
          <w:insideV w:val="nil"/>
        </w:tcBorders>
        <w:shd w:val="clear" w:color="auto" w:fill="69DA79" w:themeFill="accent3" w:themeFillShade="BF"/>
      </w:tcPr>
    </w:tblStylePr>
    <w:tblStylePr w:type="band1Horz">
      <w:tblPr/>
      <w:tcPr>
        <w:tcBorders>
          <w:top w:val="nil"/>
          <w:left w:val="nil"/>
          <w:bottom w:val="nil"/>
          <w:right w:val="nil"/>
          <w:insideH w:val="nil"/>
          <w:insideV w:val="nil"/>
        </w:tcBorders>
        <w:shd w:val="clear" w:color="auto" w:fill="69DA79"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92D05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701E"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DA92D"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DA92D" w:themeFill="accent4" w:themeFillShade="BF"/>
      </w:tcPr>
    </w:tblStylePr>
    <w:tblStylePr w:type="band1Vert">
      <w:tblPr/>
      <w:tcPr>
        <w:tcBorders>
          <w:top w:val="nil"/>
          <w:left w:val="nil"/>
          <w:bottom w:val="nil"/>
          <w:right w:val="nil"/>
          <w:insideH w:val="nil"/>
          <w:insideV w:val="nil"/>
        </w:tcBorders>
        <w:shd w:val="clear" w:color="auto" w:fill="6DA92D" w:themeFill="accent4" w:themeFillShade="BF"/>
      </w:tcPr>
    </w:tblStylePr>
    <w:tblStylePr w:type="band1Horz">
      <w:tblPr/>
      <w:tcPr>
        <w:tcBorders>
          <w:top w:val="nil"/>
          <w:left w:val="nil"/>
          <w:bottom w:val="nil"/>
          <w:right w:val="nil"/>
          <w:insideH w:val="nil"/>
          <w:insideV w:val="nil"/>
        </w:tcBorders>
        <w:shd w:val="clear" w:color="auto" w:fill="6DA92D"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F339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8004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5007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50072" w:themeFill="accent5" w:themeFillShade="BF"/>
      </w:tcPr>
    </w:tblStylePr>
    <w:tblStylePr w:type="band1Vert">
      <w:tblPr/>
      <w:tcPr>
        <w:tcBorders>
          <w:top w:val="nil"/>
          <w:left w:val="nil"/>
          <w:bottom w:val="nil"/>
          <w:right w:val="nil"/>
          <w:insideH w:val="nil"/>
          <w:insideV w:val="nil"/>
        </w:tcBorders>
        <w:shd w:val="clear" w:color="auto" w:fill="E50072" w:themeFill="accent5" w:themeFillShade="BF"/>
      </w:tcPr>
    </w:tblStylePr>
    <w:tblStylePr w:type="band1Horz">
      <w:tblPr/>
      <w:tcPr>
        <w:tcBorders>
          <w:top w:val="nil"/>
          <w:left w:val="nil"/>
          <w:bottom w:val="nil"/>
          <w:right w:val="nil"/>
          <w:insideH w:val="nil"/>
          <w:insideV w:val="nil"/>
        </w:tcBorders>
        <w:shd w:val="clear" w:color="auto" w:fill="E50072"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FF006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6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FF0066" w:themeColor="accent2"/>
        <w:left w:val="single" w:sz="4" w:space="0" w:color="FF7C80" w:themeColor="accent1"/>
        <w:bottom w:val="single" w:sz="4" w:space="0" w:color="FF7C80" w:themeColor="accent1"/>
        <w:right w:val="single" w:sz="4" w:space="0" w:color="FF7C80" w:themeColor="accent1"/>
        <w:insideH w:val="single" w:sz="4" w:space="0" w:color="FFFFFF" w:themeColor="background1"/>
        <w:insideV w:val="single" w:sz="4" w:space="0" w:color="FFFFFF" w:themeColor="background1"/>
      </w:tblBorders>
    </w:tblPr>
    <w:tcPr>
      <w:shd w:val="clear" w:color="auto" w:fill="FFF2F2" w:themeFill="accent1" w:themeFillTint="19"/>
    </w:tcPr>
    <w:tblStylePr w:type="firstRow">
      <w:rPr>
        <w:b/>
        <w:bCs/>
      </w:rPr>
      <w:tblPr/>
      <w:tcPr>
        <w:tcBorders>
          <w:top w:val="nil"/>
          <w:left w:val="nil"/>
          <w:bottom w:val="single" w:sz="24" w:space="0" w:color="FF006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30006" w:themeFill="accent1" w:themeFillShade="99"/>
      </w:tcPr>
    </w:tblStylePr>
    <w:tblStylePr w:type="firstCol">
      <w:rPr>
        <w:color w:val="FFFFFF" w:themeColor="background1"/>
      </w:rPr>
      <w:tblPr/>
      <w:tcPr>
        <w:tcBorders>
          <w:top w:val="nil"/>
          <w:left w:val="nil"/>
          <w:bottom w:val="nil"/>
          <w:right w:val="nil"/>
          <w:insideH w:val="single" w:sz="4" w:space="0" w:color="E30006" w:themeColor="accent1" w:themeShade="99"/>
          <w:insideV w:val="nil"/>
        </w:tcBorders>
        <w:shd w:val="clear" w:color="auto" w:fill="E3000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E30006" w:themeFill="accent1" w:themeFillShade="99"/>
      </w:tcPr>
    </w:tblStylePr>
    <w:tblStylePr w:type="band1Vert">
      <w:tblPr/>
      <w:tcPr>
        <w:shd w:val="clear" w:color="auto" w:fill="FFCACB" w:themeFill="accent1" w:themeFillTint="66"/>
      </w:tcPr>
    </w:tblStylePr>
    <w:tblStylePr w:type="band1Horz">
      <w:tblPr/>
      <w:tcPr>
        <w:shd w:val="clear" w:color="auto" w:fill="FFBDB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FF0066" w:themeColor="accent2"/>
        <w:left w:val="single" w:sz="4" w:space="0" w:color="FF0066" w:themeColor="accent2"/>
        <w:bottom w:val="single" w:sz="4" w:space="0" w:color="FF0066" w:themeColor="accent2"/>
        <w:right w:val="single" w:sz="4" w:space="0" w:color="FF0066" w:themeColor="accent2"/>
        <w:insideH w:val="single" w:sz="4" w:space="0" w:color="FFFFFF" w:themeColor="background1"/>
        <w:insideV w:val="single" w:sz="4" w:space="0" w:color="FFFFFF" w:themeColor="background1"/>
      </w:tblBorders>
    </w:tblPr>
    <w:tcPr>
      <w:shd w:val="clear" w:color="auto" w:fill="FFE6F0" w:themeFill="accent2" w:themeFillTint="19"/>
    </w:tcPr>
    <w:tblStylePr w:type="firstRow">
      <w:rPr>
        <w:b/>
        <w:bCs/>
      </w:rPr>
      <w:tblPr/>
      <w:tcPr>
        <w:tcBorders>
          <w:top w:val="nil"/>
          <w:left w:val="nil"/>
          <w:bottom w:val="single" w:sz="24" w:space="0" w:color="FF006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3D" w:themeFill="accent2" w:themeFillShade="99"/>
      </w:tcPr>
    </w:tblStylePr>
    <w:tblStylePr w:type="firstCol">
      <w:rPr>
        <w:color w:val="FFFFFF" w:themeColor="background1"/>
      </w:rPr>
      <w:tblPr/>
      <w:tcPr>
        <w:tcBorders>
          <w:top w:val="nil"/>
          <w:left w:val="nil"/>
          <w:bottom w:val="nil"/>
          <w:right w:val="nil"/>
          <w:insideH w:val="single" w:sz="4" w:space="0" w:color="99003D" w:themeColor="accent2" w:themeShade="99"/>
          <w:insideV w:val="nil"/>
        </w:tcBorders>
        <w:shd w:val="clear" w:color="auto" w:fill="99003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3D" w:themeFill="accent2" w:themeFillShade="99"/>
      </w:tcPr>
    </w:tblStylePr>
    <w:tblStylePr w:type="band1Vert">
      <w:tblPr/>
      <w:tcPr>
        <w:shd w:val="clear" w:color="auto" w:fill="FF99C1" w:themeFill="accent2" w:themeFillTint="66"/>
      </w:tcPr>
    </w:tblStylePr>
    <w:tblStylePr w:type="band1Horz">
      <w:tblPr/>
      <w:tcPr>
        <w:shd w:val="clear" w:color="auto" w:fill="FF80B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92D050" w:themeColor="accent4"/>
        <w:left w:val="single" w:sz="4" w:space="0" w:color="C1F0C8" w:themeColor="accent3"/>
        <w:bottom w:val="single" w:sz="4" w:space="0" w:color="C1F0C8" w:themeColor="accent3"/>
        <w:right w:val="single" w:sz="4" w:space="0" w:color="C1F0C8" w:themeColor="accent3"/>
        <w:insideH w:val="single" w:sz="4" w:space="0" w:color="FFFFFF" w:themeColor="background1"/>
        <w:insideV w:val="single" w:sz="4" w:space="0" w:color="FFFFFF" w:themeColor="background1"/>
      </w:tblBorders>
    </w:tblPr>
    <w:tcPr>
      <w:shd w:val="clear" w:color="auto" w:fill="F8FDF9" w:themeFill="accent3" w:themeFillTint="19"/>
    </w:tcPr>
    <w:tblStylePr w:type="firstRow">
      <w:rPr>
        <w:b/>
        <w:bCs/>
      </w:rPr>
      <w:tblPr/>
      <w:tcPr>
        <w:tcBorders>
          <w:top w:val="nil"/>
          <w:left w:val="nil"/>
          <w:bottom w:val="single" w:sz="24" w:space="0" w:color="92D05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CE4B" w:themeFill="accent3" w:themeFillShade="99"/>
      </w:tcPr>
    </w:tblStylePr>
    <w:tblStylePr w:type="firstCol">
      <w:rPr>
        <w:color w:val="FFFFFF" w:themeColor="background1"/>
      </w:rPr>
      <w:tblPr/>
      <w:tcPr>
        <w:tcBorders>
          <w:top w:val="nil"/>
          <w:left w:val="nil"/>
          <w:bottom w:val="nil"/>
          <w:right w:val="nil"/>
          <w:insideH w:val="single" w:sz="4" w:space="0" w:color="35CE4B" w:themeColor="accent3" w:themeShade="99"/>
          <w:insideV w:val="nil"/>
        </w:tcBorders>
        <w:shd w:val="clear" w:color="auto" w:fill="35CE4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5CE4B" w:themeFill="accent3" w:themeFillShade="99"/>
      </w:tcPr>
    </w:tblStylePr>
    <w:tblStylePr w:type="band1Vert">
      <w:tblPr/>
      <w:tcPr>
        <w:shd w:val="clear" w:color="auto" w:fill="E6F9E8" w:themeFill="accent3" w:themeFillTint="66"/>
      </w:tcPr>
    </w:tblStylePr>
    <w:tblStylePr w:type="band1Horz">
      <w:tblPr/>
      <w:tcPr>
        <w:shd w:val="clear" w:color="auto" w:fill="DFF7E3"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C1F0C8" w:themeColor="accent3"/>
        <w:left w:val="single" w:sz="4" w:space="0" w:color="92D050" w:themeColor="accent4"/>
        <w:bottom w:val="single" w:sz="4" w:space="0" w:color="92D050" w:themeColor="accent4"/>
        <w:right w:val="single" w:sz="4" w:space="0" w:color="92D050" w:themeColor="accent4"/>
        <w:insideH w:val="single" w:sz="4" w:space="0" w:color="FFFFFF" w:themeColor="background1"/>
        <w:insideV w:val="single" w:sz="4" w:space="0" w:color="FFFFFF" w:themeColor="background1"/>
      </w:tblBorders>
    </w:tblPr>
    <w:tcPr>
      <w:shd w:val="clear" w:color="auto" w:fill="F4FAED" w:themeFill="accent4" w:themeFillTint="19"/>
    </w:tcPr>
    <w:tblStylePr w:type="firstRow">
      <w:rPr>
        <w:b/>
        <w:bCs/>
      </w:rPr>
      <w:tblPr/>
      <w:tcPr>
        <w:tcBorders>
          <w:top w:val="nil"/>
          <w:left w:val="nil"/>
          <w:bottom w:val="single" w:sz="24" w:space="0" w:color="C1F0C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78824" w:themeFill="accent4" w:themeFillShade="99"/>
      </w:tcPr>
    </w:tblStylePr>
    <w:tblStylePr w:type="firstCol">
      <w:rPr>
        <w:color w:val="FFFFFF" w:themeColor="background1"/>
      </w:rPr>
      <w:tblPr/>
      <w:tcPr>
        <w:tcBorders>
          <w:top w:val="nil"/>
          <w:left w:val="nil"/>
          <w:bottom w:val="nil"/>
          <w:right w:val="nil"/>
          <w:insideH w:val="single" w:sz="4" w:space="0" w:color="578824" w:themeColor="accent4" w:themeShade="99"/>
          <w:insideV w:val="nil"/>
        </w:tcBorders>
        <w:shd w:val="clear" w:color="auto" w:fill="57882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78824" w:themeFill="accent4" w:themeFillShade="99"/>
      </w:tcPr>
    </w:tblStylePr>
    <w:tblStylePr w:type="band1Vert">
      <w:tblPr/>
      <w:tcPr>
        <w:shd w:val="clear" w:color="auto" w:fill="D3ECB8" w:themeFill="accent4" w:themeFillTint="66"/>
      </w:tcPr>
    </w:tblStylePr>
    <w:tblStylePr w:type="band1Horz">
      <w:tblPr/>
      <w:tcPr>
        <w:shd w:val="clear" w:color="auto" w:fill="C8E7A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FF3399" w:themeColor="accent5"/>
        <w:bottom w:val="single" w:sz="4" w:space="0" w:color="FF3399" w:themeColor="accent5"/>
        <w:right w:val="single" w:sz="4" w:space="0" w:color="FF3399" w:themeColor="accent5"/>
        <w:insideH w:val="single" w:sz="4" w:space="0" w:color="FFFFFF" w:themeColor="background1"/>
        <w:insideV w:val="single" w:sz="4" w:space="0" w:color="FFFFFF" w:themeColor="background1"/>
      </w:tblBorders>
    </w:tblPr>
    <w:tcPr>
      <w:shd w:val="clear" w:color="auto" w:fill="FFEBF4"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7005B" w:themeFill="accent5" w:themeFillShade="99"/>
      </w:tcPr>
    </w:tblStylePr>
    <w:tblStylePr w:type="firstCol">
      <w:rPr>
        <w:color w:val="FFFFFF" w:themeColor="background1"/>
      </w:rPr>
      <w:tblPr/>
      <w:tcPr>
        <w:tcBorders>
          <w:top w:val="nil"/>
          <w:left w:val="nil"/>
          <w:bottom w:val="nil"/>
          <w:right w:val="nil"/>
          <w:insideH w:val="single" w:sz="4" w:space="0" w:color="B7005B" w:themeColor="accent5" w:themeShade="99"/>
          <w:insideV w:val="nil"/>
        </w:tcBorders>
        <w:shd w:val="clear" w:color="auto" w:fill="B7005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7005B" w:themeFill="accent5" w:themeFillShade="99"/>
      </w:tcPr>
    </w:tblStylePr>
    <w:tblStylePr w:type="band1Vert">
      <w:tblPr/>
      <w:tcPr>
        <w:shd w:val="clear" w:color="auto" w:fill="FFADD6" w:themeFill="accent5" w:themeFillTint="66"/>
      </w:tcPr>
    </w:tblStylePr>
    <w:tblStylePr w:type="band1Horz">
      <w:tblPr/>
      <w:tcPr>
        <w:shd w:val="clear" w:color="auto" w:fill="FF99CB"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F3399"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FF339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51" w:themeFill="accent2" w:themeFillShade="CC"/>
      </w:tcPr>
    </w:tblStylePr>
    <w:tblStylePr w:type="lastRow">
      <w:rPr>
        <w:b/>
        <w:bCs/>
        <w:color w:val="CC005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FF2F2" w:themeFill="accent1" w:themeFillTint="19"/>
    </w:tcPr>
    <w:tblStylePr w:type="firstRow">
      <w:rPr>
        <w:b/>
        <w:bCs/>
        <w:color w:val="FFFFFF" w:themeColor="background1"/>
      </w:rPr>
      <w:tblPr/>
      <w:tcPr>
        <w:tcBorders>
          <w:bottom w:val="single" w:sz="12" w:space="0" w:color="FFFFFF" w:themeColor="background1"/>
        </w:tcBorders>
        <w:shd w:val="clear" w:color="auto" w:fill="CC0051" w:themeFill="accent2" w:themeFillShade="CC"/>
      </w:tcPr>
    </w:tblStylePr>
    <w:tblStylePr w:type="lastRow">
      <w:rPr>
        <w:b/>
        <w:bCs/>
        <w:color w:val="CC005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DF" w:themeFill="accent1" w:themeFillTint="3F"/>
      </w:tcPr>
    </w:tblStylePr>
    <w:tblStylePr w:type="band1Horz">
      <w:tblPr/>
      <w:tcPr>
        <w:shd w:val="clear" w:color="auto" w:fill="FFE4E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FE6F0" w:themeFill="accent2" w:themeFillTint="19"/>
    </w:tcPr>
    <w:tblStylePr w:type="firstRow">
      <w:rPr>
        <w:b/>
        <w:bCs/>
        <w:color w:val="FFFFFF" w:themeColor="background1"/>
      </w:rPr>
      <w:tblPr/>
      <w:tcPr>
        <w:tcBorders>
          <w:bottom w:val="single" w:sz="12" w:space="0" w:color="FFFFFF" w:themeColor="background1"/>
        </w:tcBorders>
        <w:shd w:val="clear" w:color="auto" w:fill="CC0051" w:themeFill="accent2" w:themeFillShade="CC"/>
      </w:tcPr>
    </w:tblStylePr>
    <w:tblStylePr w:type="lastRow">
      <w:rPr>
        <w:b/>
        <w:bCs/>
        <w:color w:val="CC005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D9" w:themeFill="accent2" w:themeFillTint="3F"/>
      </w:tcPr>
    </w:tblStylePr>
    <w:tblStylePr w:type="band1Horz">
      <w:tblPr/>
      <w:tcPr>
        <w:shd w:val="clear" w:color="auto" w:fill="FFCCE0"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8FDF9" w:themeFill="accent3" w:themeFillTint="19"/>
    </w:tcPr>
    <w:tblStylePr w:type="firstRow">
      <w:rPr>
        <w:b/>
        <w:bCs/>
        <w:color w:val="FFFFFF" w:themeColor="background1"/>
      </w:rPr>
      <w:tblPr/>
      <w:tcPr>
        <w:tcBorders>
          <w:bottom w:val="single" w:sz="12" w:space="0" w:color="FFFFFF" w:themeColor="background1"/>
        </w:tcBorders>
        <w:shd w:val="clear" w:color="auto" w:fill="74B530" w:themeFill="accent4" w:themeFillShade="CC"/>
      </w:tcPr>
    </w:tblStylePr>
    <w:tblStylePr w:type="lastRow">
      <w:rPr>
        <w:b/>
        <w:bCs/>
        <w:color w:val="74B53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FBF1" w:themeFill="accent3" w:themeFillTint="3F"/>
      </w:tcPr>
    </w:tblStylePr>
    <w:tblStylePr w:type="band1Horz">
      <w:tblPr/>
      <w:tcPr>
        <w:shd w:val="clear" w:color="auto" w:fill="F2FCF3"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4FAED" w:themeFill="accent4" w:themeFillTint="19"/>
    </w:tcPr>
    <w:tblStylePr w:type="firstRow">
      <w:rPr>
        <w:b/>
        <w:bCs/>
        <w:color w:val="FFFFFF" w:themeColor="background1"/>
      </w:rPr>
      <w:tblPr/>
      <w:tcPr>
        <w:tcBorders>
          <w:bottom w:val="single" w:sz="12" w:space="0" w:color="FFFFFF" w:themeColor="background1"/>
        </w:tcBorders>
        <w:shd w:val="clear" w:color="auto" w:fill="7BDF89" w:themeFill="accent3" w:themeFillShade="CC"/>
      </w:tcPr>
    </w:tblStylePr>
    <w:tblStylePr w:type="lastRow">
      <w:rPr>
        <w:b/>
        <w:bCs/>
        <w:color w:val="7BDF8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F3D3" w:themeFill="accent4" w:themeFillTint="3F"/>
      </w:tcPr>
    </w:tblStylePr>
    <w:tblStylePr w:type="band1Horz">
      <w:tblPr/>
      <w:tcPr>
        <w:shd w:val="clear" w:color="auto" w:fill="E9F5D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FEBF4"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E5" w:themeFill="accent5" w:themeFillTint="3F"/>
      </w:tcPr>
    </w:tblStylePr>
    <w:tblStylePr w:type="band1Horz">
      <w:tblPr/>
      <w:tcPr>
        <w:shd w:val="clear" w:color="auto" w:fill="FFD6EA"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F40079" w:themeFill="accent5" w:themeFillShade="CC"/>
      </w:tcPr>
    </w:tblStylePr>
    <w:tblStylePr w:type="lastRow">
      <w:rPr>
        <w:b/>
        <w:bCs/>
        <w:color w:val="F4007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4E5" w:themeFill="accent1" w:themeFillTint="33"/>
    </w:tcPr>
    <w:tblStylePr w:type="firstRow">
      <w:rPr>
        <w:b/>
        <w:bCs/>
      </w:rPr>
      <w:tblPr/>
      <w:tcPr>
        <w:shd w:val="clear" w:color="auto" w:fill="FFCACB" w:themeFill="accent1" w:themeFillTint="66"/>
      </w:tcPr>
    </w:tblStylePr>
    <w:tblStylePr w:type="lastRow">
      <w:rPr>
        <w:b/>
        <w:bCs/>
        <w:color w:val="000000" w:themeColor="text1"/>
      </w:rPr>
      <w:tblPr/>
      <w:tcPr>
        <w:shd w:val="clear" w:color="auto" w:fill="FFCACB" w:themeFill="accent1" w:themeFillTint="66"/>
      </w:tcPr>
    </w:tblStylePr>
    <w:tblStylePr w:type="firstCol">
      <w:rPr>
        <w:color w:val="FFFFFF" w:themeColor="background1"/>
      </w:rPr>
      <w:tblPr/>
      <w:tcPr>
        <w:shd w:val="clear" w:color="auto" w:fill="FF1C22" w:themeFill="accent1" w:themeFillShade="BF"/>
      </w:tcPr>
    </w:tblStylePr>
    <w:tblStylePr w:type="lastCol">
      <w:rPr>
        <w:color w:val="FFFFFF" w:themeColor="background1"/>
      </w:rPr>
      <w:tblPr/>
      <w:tcPr>
        <w:shd w:val="clear" w:color="auto" w:fill="FF1C22" w:themeFill="accent1" w:themeFillShade="BF"/>
      </w:tcPr>
    </w:tblStylePr>
    <w:tblStylePr w:type="band1Vert">
      <w:tblPr/>
      <w:tcPr>
        <w:shd w:val="clear" w:color="auto" w:fill="FFBDBF" w:themeFill="accent1" w:themeFillTint="7F"/>
      </w:tcPr>
    </w:tblStylePr>
    <w:tblStylePr w:type="band1Horz">
      <w:tblPr/>
      <w:tcPr>
        <w:shd w:val="clear" w:color="auto" w:fill="FFBDBF"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CE0" w:themeFill="accent2" w:themeFillTint="33"/>
    </w:tcPr>
    <w:tblStylePr w:type="firstRow">
      <w:rPr>
        <w:b/>
        <w:bCs/>
      </w:rPr>
      <w:tblPr/>
      <w:tcPr>
        <w:shd w:val="clear" w:color="auto" w:fill="FF99C1" w:themeFill="accent2" w:themeFillTint="66"/>
      </w:tcPr>
    </w:tblStylePr>
    <w:tblStylePr w:type="lastRow">
      <w:rPr>
        <w:b/>
        <w:bCs/>
        <w:color w:val="000000" w:themeColor="text1"/>
      </w:rPr>
      <w:tblPr/>
      <w:tcPr>
        <w:shd w:val="clear" w:color="auto" w:fill="FF99C1" w:themeFill="accent2" w:themeFillTint="66"/>
      </w:tcPr>
    </w:tblStylePr>
    <w:tblStylePr w:type="firstCol">
      <w:rPr>
        <w:color w:val="FFFFFF" w:themeColor="background1"/>
      </w:rPr>
      <w:tblPr/>
      <w:tcPr>
        <w:shd w:val="clear" w:color="auto" w:fill="BF004C" w:themeFill="accent2" w:themeFillShade="BF"/>
      </w:tcPr>
    </w:tblStylePr>
    <w:tblStylePr w:type="lastCol">
      <w:rPr>
        <w:color w:val="FFFFFF" w:themeColor="background1"/>
      </w:rPr>
      <w:tblPr/>
      <w:tcPr>
        <w:shd w:val="clear" w:color="auto" w:fill="BF004C" w:themeFill="accent2" w:themeFillShade="BF"/>
      </w:tcPr>
    </w:tblStylePr>
    <w:tblStylePr w:type="band1Vert">
      <w:tblPr/>
      <w:tcPr>
        <w:shd w:val="clear" w:color="auto" w:fill="FF80B2" w:themeFill="accent2" w:themeFillTint="7F"/>
      </w:tcPr>
    </w:tblStylePr>
    <w:tblStylePr w:type="band1Horz">
      <w:tblPr/>
      <w:tcPr>
        <w:shd w:val="clear" w:color="auto" w:fill="FF80B2"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CF3" w:themeFill="accent3" w:themeFillTint="33"/>
    </w:tcPr>
    <w:tblStylePr w:type="firstRow">
      <w:rPr>
        <w:b/>
        <w:bCs/>
      </w:rPr>
      <w:tblPr/>
      <w:tcPr>
        <w:shd w:val="clear" w:color="auto" w:fill="E6F9E8" w:themeFill="accent3" w:themeFillTint="66"/>
      </w:tcPr>
    </w:tblStylePr>
    <w:tblStylePr w:type="lastRow">
      <w:rPr>
        <w:b/>
        <w:bCs/>
        <w:color w:val="000000" w:themeColor="text1"/>
      </w:rPr>
      <w:tblPr/>
      <w:tcPr>
        <w:shd w:val="clear" w:color="auto" w:fill="E6F9E8" w:themeFill="accent3" w:themeFillTint="66"/>
      </w:tcPr>
    </w:tblStylePr>
    <w:tblStylePr w:type="firstCol">
      <w:rPr>
        <w:color w:val="FFFFFF" w:themeColor="background1"/>
      </w:rPr>
      <w:tblPr/>
      <w:tcPr>
        <w:shd w:val="clear" w:color="auto" w:fill="69DA79" w:themeFill="accent3" w:themeFillShade="BF"/>
      </w:tcPr>
    </w:tblStylePr>
    <w:tblStylePr w:type="lastCol">
      <w:rPr>
        <w:color w:val="FFFFFF" w:themeColor="background1"/>
      </w:rPr>
      <w:tblPr/>
      <w:tcPr>
        <w:shd w:val="clear" w:color="auto" w:fill="69DA79" w:themeFill="accent3" w:themeFillShade="BF"/>
      </w:tcPr>
    </w:tblStylePr>
    <w:tblStylePr w:type="band1Vert">
      <w:tblPr/>
      <w:tcPr>
        <w:shd w:val="clear" w:color="auto" w:fill="DFF7E3" w:themeFill="accent3" w:themeFillTint="7F"/>
      </w:tcPr>
    </w:tblStylePr>
    <w:tblStylePr w:type="band1Horz">
      <w:tblPr/>
      <w:tcPr>
        <w:shd w:val="clear" w:color="auto" w:fill="DFF7E3"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F5DB" w:themeFill="accent4" w:themeFillTint="33"/>
    </w:tcPr>
    <w:tblStylePr w:type="firstRow">
      <w:rPr>
        <w:b/>
        <w:bCs/>
      </w:rPr>
      <w:tblPr/>
      <w:tcPr>
        <w:shd w:val="clear" w:color="auto" w:fill="D3ECB8" w:themeFill="accent4" w:themeFillTint="66"/>
      </w:tcPr>
    </w:tblStylePr>
    <w:tblStylePr w:type="lastRow">
      <w:rPr>
        <w:b/>
        <w:bCs/>
        <w:color w:val="000000" w:themeColor="text1"/>
      </w:rPr>
      <w:tblPr/>
      <w:tcPr>
        <w:shd w:val="clear" w:color="auto" w:fill="D3ECB8" w:themeFill="accent4" w:themeFillTint="66"/>
      </w:tcPr>
    </w:tblStylePr>
    <w:tblStylePr w:type="firstCol">
      <w:rPr>
        <w:color w:val="FFFFFF" w:themeColor="background1"/>
      </w:rPr>
      <w:tblPr/>
      <w:tcPr>
        <w:shd w:val="clear" w:color="auto" w:fill="6DA92D" w:themeFill="accent4" w:themeFillShade="BF"/>
      </w:tcPr>
    </w:tblStylePr>
    <w:tblStylePr w:type="lastCol">
      <w:rPr>
        <w:color w:val="FFFFFF" w:themeColor="background1"/>
      </w:rPr>
      <w:tblPr/>
      <w:tcPr>
        <w:shd w:val="clear" w:color="auto" w:fill="6DA92D" w:themeFill="accent4" w:themeFillShade="BF"/>
      </w:tcPr>
    </w:tblStylePr>
    <w:tblStylePr w:type="band1Vert">
      <w:tblPr/>
      <w:tcPr>
        <w:shd w:val="clear" w:color="auto" w:fill="C8E7A7" w:themeFill="accent4" w:themeFillTint="7F"/>
      </w:tcPr>
    </w:tblStylePr>
    <w:tblStylePr w:type="band1Horz">
      <w:tblPr/>
      <w:tcPr>
        <w:shd w:val="clear" w:color="auto" w:fill="C8E7A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D6EA" w:themeFill="accent5" w:themeFillTint="33"/>
    </w:tcPr>
    <w:tblStylePr w:type="firstRow">
      <w:rPr>
        <w:b/>
        <w:bCs/>
      </w:rPr>
      <w:tblPr/>
      <w:tcPr>
        <w:shd w:val="clear" w:color="auto" w:fill="FFADD6" w:themeFill="accent5" w:themeFillTint="66"/>
      </w:tcPr>
    </w:tblStylePr>
    <w:tblStylePr w:type="lastRow">
      <w:rPr>
        <w:b/>
        <w:bCs/>
        <w:color w:val="000000" w:themeColor="text1"/>
      </w:rPr>
      <w:tblPr/>
      <w:tcPr>
        <w:shd w:val="clear" w:color="auto" w:fill="FFADD6" w:themeFill="accent5" w:themeFillTint="66"/>
      </w:tcPr>
    </w:tblStylePr>
    <w:tblStylePr w:type="firstCol">
      <w:rPr>
        <w:color w:val="FFFFFF" w:themeColor="background1"/>
      </w:rPr>
      <w:tblPr/>
      <w:tcPr>
        <w:shd w:val="clear" w:color="auto" w:fill="E50072" w:themeFill="accent5" w:themeFillShade="BF"/>
      </w:tcPr>
    </w:tblStylePr>
    <w:tblStylePr w:type="lastCol">
      <w:rPr>
        <w:color w:val="FFFFFF" w:themeColor="background1"/>
      </w:rPr>
      <w:tblPr/>
      <w:tcPr>
        <w:shd w:val="clear" w:color="auto" w:fill="E50072" w:themeFill="accent5" w:themeFillShade="BF"/>
      </w:tcPr>
    </w:tblStylePr>
    <w:tblStylePr w:type="band1Vert">
      <w:tblPr/>
      <w:tcPr>
        <w:shd w:val="clear" w:color="auto" w:fill="FF99CB" w:themeFill="accent5" w:themeFillTint="7F"/>
      </w:tcPr>
    </w:tblStylePr>
    <w:tblStylePr w:type="band1Horz">
      <w:tblPr/>
      <w:tcPr>
        <w:shd w:val="clear" w:color="auto" w:fill="FF99CB"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In The Right Dyrection">
      <a:dk1>
        <a:sysClr val="windowText" lastClr="000000"/>
      </a:dk1>
      <a:lt1>
        <a:sysClr val="window" lastClr="FFFFFF"/>
      </a:lt1>
      <a:dk2>
        <a:srgbClr val="FF003C"/>
      </a:dk2>
      <a:lt2>
        <a:srgbClr val="E8E8E8"/>
      </a:lt2>
      <a:accent1>
        <a:srgbClr val="FF7C80"/>
      </a:accent1>
      <a:accent2>
        <a:srgbClr val="FF0066"/>
      </a:accent2>
      <a:accent3>
        <a:srgbClr val="C1F0C8"/>
      </a:accent3>
      <a:accent4>
        <a:srgbClr val="92D050"/>
      </a:accent4>
      <a:accent5>
        <a:srgbClr val="FF3399"/>
      </a:accent5>
      <a:accent6>
        <a:srgbClr val="4EA72E"/>
      </a:accent6>
      <a:hlink>
        <a:srgbClr val="0C3512"/>
      </a:hlink>
      <a:folHlink>
        <a:srgbClr val="000000"/>
      </a:folHlink>
    </a:clrScheme>
    <a:fontScheme name="Custom 1">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8098</Words>
  <Characters>46161</Characters>
  <Application>Microsoft Office Word</Application>
  <DocSecurity>4</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4</cp:revision>
  <dcterms:created xsi:type="dcterms:W3CDTF">2026-05-19T17:37:00Z</dcterms:created>
  <dcterms:modified xsi:type="dcterms:W3CDTF">2026-05-19T14:39:00Z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2d0978d0-205d-403b-b41f-7dc5e74c6418</vt:lpwstr>
  </property>
</Properties>
</file>