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The Tandem Companion — Code Assembly Brief</w:t>
      </w:r>
    </w:p>
    <w:p>
      <w:r>
        <w:rPr>
          <w:b/>
          <w:sz w:val="18"/>
        </w:rPr>
        <w:t>THE TANDEM COMPANION • BUILD PIPELINE</w:t>
      </w:r>
    </w:p>
    <w:p>
      <w:r>
        <w:t>Your job is assembly and layout implementation. Treat the approved content as locked. You may structure, paginate, style, and render it; you may not become a co-author.</w:t>
      </w:r>
    </w:p>
    <w:p>
      <w:pPr>
        <w:pStyle w:val="Heading1"/>
      </w:pPr>
      <w:r>
        <w:t>Input priority</w:t>
      </w:r>
    </w:p>
    <w:p>
      <w:pPr>
        <w:pStyle w:val="ListNumber"/>
      </w:pPr>
      <w:r>
        <w:t>Any explicit new author correction supplied with the build.</w:t>
      </w:r>
    </w:p>
    <w:p>
      <w:pPr>
        <w:pStyle w:val="ListNumber"/>
      </w:pPr>
      <w:r>
        <w:t>Tandem Source Authority Audit — Working Record.</w:t>
      </w:r>
    </w:p>
    <w:p>
      <w:pPr>
        <w:pStyle w:val="ListNumber"/>
      </w:pPr>
      <w:r>
        <w:t>The Tandem Companion — Production Master.</w:t>
      </w:r>
    </w:p>
    <w:p>
      <w:pPr>
        <w:pStyle w:val="ListNumber"/>
      </w:pPr>
      <w:r>
        <w:t>The Tandem Companion — Content Master Parts I-IV.</w:t>
      </w:r>
    </w:p>
    <w:p>
      <w:pPr>
        <w:pStyle w:val="ListNumber"/>
      </w:pPr>
      <w:r>
        <w:t>The Tandem Companion — Content Master Continuation Parts V-VII.</w:t>
      </w:r>
    </w:p>
    <w:p>
      <w:pPr>
        <w:pStyle w:val="ListNumber"/>
      </w:pPr>
      <w:r>
        <w:t>The Tandem Companion — Appendices Data Pack.</w:t>
      </w:r>
    </w:p>
    <w:p>
      <w:pPr>
        <w:pStyle w:val="ListNumber"/>
      </w:pPr>
      <w:r>
        <w:t>The approved Design Template Kit.</w:t>
      </w:r>
    </w:p>
    <w:p>
      <w:pPr>
        <w:pStyle w:val="Heading1"/>
      </w:pPr>
      <w:r>
        <w:t>Assembly sequence</w:t>
      </w:r>
    </w:p>
    <w:p>
      <w:pPr>
        <w:pStyle w:val="ListNumber"/>
      </w:pPr>
      <w:r>
        <w:t>Parse the Production Master to establish Part/section order and page-type intent.</w:t>
      </w:r>
    </w:p>
    <w:p>
      <w:pPr>
        <w:pStyle w:val="ListNumber"/>
      </w:pPr>
      <w:r>
        <w:t>Import Parts I–IV from the first-half Content Master without rewriting claims.</w:t>
      </w:r>
    </w:p>
    <w:p>
      <w:pPr>
        <w:pStyle w:val="ListNumber"/>
      </w:pPr>
      <w:r>
        <w:t>Append Parts V–VII from the continuation, preserving status labels, tables, guardrails, open-development boxes, and source notes.</w:t>
      </w:r>
    </w:p>
    <w:p>
      <w:pPr>
        <w:pStyle w:val="ListNumber"/>
      </w:pPr>
      <w:r>
        <w:t>Generate appendices from the Appendix Data Pack using the approved long-table template.</w:t>
      </w:r>
    </w:p>
    <w:p>
      <w:pPr>
        <w:pStyle w:val="ListNumber"/>
      </w:pPr>
      <w:r>
        <w:t>Apply the approved design styles and book identities.</w:t>
      </w:r>
    </w:p>
    <w:p>
      <w:pPr>
        <w:pStyle w:val="ListNumber"/>
      </w:pPr>
      <w:r>
        <w:t>Generate TOC, running heads, page numbers, and internal cross-references where feasible.</w:t>
      </w:r>
    </w:p>
    <w:p>
      <w:pPr>
        <w:pStyle w:val="ListNumber"/>
      </w:pPr>
      <w:r>
        <w:t>Render and run visual QA page by page.</w:t>
      </w:r>
    </w:p>
    <w:p>
      <w:pPr>
        <w:pStyle w:val="ListNumber"/>
      </w:pPr>
      <w:r>
        <w:t>Export DOCX and print PDF.</w:t>
      </w:r>
    </w:p>
    <w:p>
      <w:pPr>
        <w:pStyle w:val="Heading1"/>
      </w:pPr>
      <w:r>
        <w:t>Content-lock rules</w:t>
      </w:r>
    </w:p>
    <w:p>
      <w:pPr>
        <w:pStyle w:val="ListBullet"/>
      </w:pPr>
      <w:r>
        <w:t>Never summarize, paraphrase, combine, or delete substantive copy to make layout easier.</w:t>
      </w:r>
    </w:p>
    <w:p>
      <w:pPr>
        <w:pStyle w:val="ListBullet"/>
      </w:pPr>
      <w:r>
        <w:t>Do not change canon-status labels.</w:t>
      </w:r>
    </w:p>
    <w:p>
      <w:pPr>
        <w:pStyle w:val="ListBullet"/>
      </w:pPr>
      <w:r>
        <w:t>Do not resolve an open field or conflict.</w:t>
      </w:r>
    </w:p>
    <w:p>
      <w:pPr>
        <w:pStyle w:val="ListBullet"/>
      </w:pPr>
      <w:r>
        <w:t>Do not turn character/institutional belief into objective narration.</w:t>
      </w:r>
    </w:p>
    <w:p>
      <w:pPr>
        <w:pStyle w:val="ListBullet"/>
      </w:pPr>
      <w:r>
        <w:t>Do not infer cross-book connections from repeated imagery/names.</w:t>
      </w:r>
    </w:p>
    <w:p>
      <w:pPr>
        <w:pStyle w:val="ListBullet"/>
      </w:pPr>
      <w:r>
        <w:t>Do not replace source-specific terminology with prettier synonyms.</w:t>
      </w:r>
    </w:p>
    <w:p>
      <w:pPr>
        <w:pStyle w:val="ListBullet"/>
      </w:pPr>
      <w:r>
        <w:t>If copy does not fit, split the page or table.</w:t>
      </w:r>
    </w:p>
    <w:p>
      <w:pPr>
        <w:pStyle w:val="Heading1"/>
      </w:pPr>
      <w:r>
        <w:t>Known correction that must be implemented</w:t>
      </w:r>
    </w:p>
    <w:p>
      <w:r>
        <w:t>Thalara’s zones are Shallows → Midsea → Deep. Thalara Proper is a city inside Midsea. Do not use older shorthand as a literal three-zone list.</w:t>
      </w:r>
    </w:p>
    <w:p>
      <w:pPr>
        <w:pStyle w:val="Heading1"/>
      </w:pPr>
      <w:r>
        <w:t>Document engineering requirements</w:t>
      </w:r>
    </w:p>
    <w:p>
      <w:pPr>
        <w:pStyle w:val="ListBullet"/>
      </w:pPr>
      <w:r>
        <w:t>True white background and print-friendly margins.</w:t>
      </w:r>
    </w:p>
    <w:p>
      <w:pPr>
        <w:pStyle w:val="ListBullet"/>
      </w:pPr>
      <w:r>
        <w:t>Repeat table header rows across page breaks.</w:t>
      </w:r>
    </w:p>
    <w:p>
      <w:pPr>
        <w:pStyle w:val="ListBullet"/>
      </w:pPr>
      <w:r>
        <w:t>Do not compress large tables into illegibility; let them span pages.</w:t>
      </w:r>
    </w:p>
    <w:p>
      <w:pPr>
        <w:pStyle w:val="ListBullet"/>
      </w:pPr>
      <w:r>
        <w:t>Keep status labels with the claim they qualify.</w:t>
      </w:r>
    </w:p>
    <w:p>
      <w:pPr>
        <w:pStyle w:val="ListBullet"/>
      </w:pPr>
      <w:r>
        <w:t>Avoid orphaned headings and isolated callout labels.</w:t>
      </w:r>
    </w:p>
    <w:p>
      <w:pPr>
        <w:pStyle w:val="ListBullet"/>
      </w:pPr>
      <w:r>
        <w:t>Keep provenance legible but subordinate.</w:t>
      </w:r>
    </w:p>
    <w:p>
      <w:pPr>
        <w:pStyle w:val="ListBullet"/>
      </w:pPr>
      <w:r>
        <w:t>Use section breaks intentionally.</w:t>
      </w:r>
    </w:p>
    <w:p>
      <w:pPr>
        <w:pStyle w:val="ListBullet"/>
      </w:pPr>
      <w:r>
        <w:t>All essential content must remain understandable in grayscale.</w:t>
      </w:r>
    </w:p>
    <w:p>
      <w:pPr>
        <w:pStyle w:val="ListBullet"/>
      </w:pPr>
      <w:r>
        <w:t>Prefer editable native Word text/tables over raster screenshots for core content.</w:t>
      </w:r>
    </w:p>
    <w:p>
      <w:pPr>
        <w:pStyle w:val="ListBullet"/>
      </w:pPr>
      <w:r>
        <w:t>Final PDF must preserve text search/selectability.</w:t>
      </w:r>
    </w:p>
    <w:p>
      <w:pPr>
        <w:pStyle w:val="Heading1"/>
      </w:pPr>
      <w:r>
        <w:t>QA checklist before delivery</w:t>
      </w:r>
    </w:p>
    <w:p>
      <w:pPr>
        <w:pStyle w:val="ListBullet"/>
      </w:pPr>
      <w:r>
        <w:t>All Parts I–VII present in Production Master order.</w:t>
      </w:r>
    </w:p>
    <w:p>
      <w:pPr>
        <w:pStyle w:val="ListBullet"/>
      </w:pPr>
      <w:r>
        <w:t>All appendices present or explicitly flagged as intentionally deferred.</w:t>
      </w:r>
    </w:p>
    <w:p>
      <w:pPr>
        <w:pStyle w:val="ListBullet"/>
      </w:pPr>
      <w:r>
        <w:t>No content lost between source content and layout.</w:t>
      </w:r>
    </w:p>
    <w:p>
      <w:pPr>
        <w:pStyle w:val="ListBullet"/>
      </w:pPr>
      <w:r>
        <w:t>No table clipping/overlap.</w:t>
      </w:r>
    </w:p>
    <w:p>
      <w:pPr>
        <w:pStyle w:val="ListBullet"/>
      </w:pPr>
      <w:r>
        <w:t>No missing glyphs/status markers.</w:t>
      </w:r>
    </w:p>
    <w:p>
      <w:pPr>
        <w:pStyle w:val="ListBullet"/>
      </w:pPr>
      <w:r>
        <w:t>TOC and page numbers correct.</w:t>
      </w:r>
    </w:p>
    <w:p>
      <w:pPr>
        <w:pStyle w:val="ListBullet"/>
      </w:pPr>
      <w:r>
        <w:t>Cross-references point to real sections.</w:t>
      </w:r>
    </w:p>
    <w:p>
      <w:pPr>
        <w:pStyle w:val="ListBullet"/>
      </w:pPr>
      <w:r>
        <w:t>White-background print test passes.</w:t>
      </w:r>
    </w:p>
    <w:p>
      <w:pPr>
        <w:pStyle w:val="ListBullet"/>
      </w:pPr>
      <w:r>
        <w:t>Random claim audit against Source Authority Audit passes.</w:t>
      </w:r>
    </w:p>
    <w:p>
      <w:pPr>
        <w:pStyle w:val="ListBullet"/>
      </w:pPr>
      <w:r>
        <w:t>Both editable DOCX and PDF open successfully.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