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Georgia" w:cs="Georgia" w:eastAsia="Georgia" w:hAnsi="Georgia"/>
          <w:b/>
          <w:bCs/>
          <w:color w:val="080705"/>
          <w:sz w:val="72"/>
          <w:szCs w:val="72"/>
        </w:rPr>
        <w:t xml:space="preserve">INTITECH</w:t>
      </w:r>
    </w:p>
    <w:p>
      <w:pPr>
        <w:spacing w:after="160" w:before="0"/>
        <w:jc w:val="center"/>
      </w:pPr>
      <w:r>
        <w:rPr>
          <w:rFonts w:ascii="Georgia" w:cs="Georgia" w:eastAsia="Georgia" w:hAnsi="Georgia"/>
          <w:i/>
          <w:iCs/>
          <w:color w:val="6b6355"/>
          <w:sz w:val="30"/>
          <w:szCs w:val="30"/>
        </w:rPr>
        <w:t xml:space="preserve">Brand Identity &amp; Portfolio Handoff</w:t>
      </w:r>
    </w:p>
    <w:p>
      <w:pPr>
        <w:pBdr>
          <w:bottom w:val="single" w:color="c8612a" w:sz="4" w:space="4"/>
        </w:pBdr>
        <w:spacing w:after="80" w:before="0"/>
        <w:jc w:val="center"/>
      </w:pPr>
      <w:r>
        <w:t xml:space="preserve"/>
      </w:r>
    </w:p>
    <w:p>
      <w:pPr>
        <w:spacing w:after="0" w:before="80"/>
      </w:pPr>
      <w:r>
        <w:t xml:space="preserve"/>
      </w:r>
    </w:p>
    <w:p>
      <w:pPr>
        <w:spacing w:after="60" w:before="0"/>
        <w:jc w:val="center"/>
      </w:pPr>
      <w:r>
        <w:rPr>
          <w:rFonts w:ascii="Georgia" w:cs="Georgia" w:eastAsia="Georgia" w:hAnsi="Georgia"/>
          <w:b/>
          <w:bCs/>
          <w:color w:val="3A3428"/>
          <w:sz w:val="26"/>
          <w:szCs w:val="26"/>
        </w:rPr>
        <w:t xml:space="preserve">Abdulawwal Intisor Mawupego</w:t>
      </w:r>
    </w:p>
    <w:p>
      <w:pPr>
        <w:spacing w:after="60" w:before="0"/>
        <w:jc w:val="center"/>
      </w:pPr>
      <w:r>
        <w:rPr>
          <w:rFonts w:ascii="Courier New" w:cs="Courier New" w:eastAsia="Courier New" w:hAnsi="Courier New"/>
          <w:color w:val="6b6355"/>
          <w:sz w:val="18"/>
          <w:szCs w:val="18"/>
        </w:rPr>
        <w:t xml:space="preserve">Backend Engineer · Akure, Nigeria · MMXXV</w:t>
      </w:r>
    </w:p>
    <w:p>
      <w:pPr>
        <w:spacing w:after="60" w:before="0"/>
        <w:jc w:val="center"/>
      </w:pPr>
      <w:r>
        <w:rPr>
          <w:rFonts w:ascii="Courier New" w:cs="Courier New" w:eastAsia="Courier New" w:hAnsi="Courier New"/>
          <w:color w:val="c8612a"/>
          <w:sz w:val="18"/>
          <w:szCs w:val="18"/>
        </w:rPr>
        <w:t xml:space="preserve">intitech.dev</w:t>
      </w:r>
    </w:p>
    <w:p>
      <w:pPr>
        <w:spacing w:after="0" w:before="1600"/>
      </w:pPr>
      <w:r>
        <w:t xml:space="preserve"/>
      </w:r>
    </w:p>
    <w:p>
      <w:pPr>
        <w:spacing w:after="0" w:before="0"/>
        <w:jc w:val="center"/>
      </w:pPr>
      <w:r>
        <w:rPr>
          <w:rFonts w:ascii="Georgia" w:cs="Georgia" w:eastAsia="Georgia" w:hAnsi="Georgia"/>
          <w:i/>
          <w:iCs/>
          <w:color w:val="D4C9B8"/>
          <w:sz w:val="28"/>
          <w:szCs w:val="28"/>
        </w:rPr>
        <w:t xml:space="preserve">"I build what's needed."</w:t>
      </w:r>
    </w:p>
    <w:p>
      <w:r>
        <w:br/>
        <w:t xml:space="preserve"/>
      </w:r>
    </w:p>
    <w:p>
      <w:pPr>
        <w:pStyle w:val="Heading1"/>
        <w:spacing w:after="160" w:before="400"/>
      </w:pPr>
      <w:r>
        <w:rPr>
          <w:rFonts w:ascii="Georgia" w:cs="Georgia" w:eastAsia="Georgia" w:hAnsi="Georgia"/>
          <w:b/>
          <w:bCs/>
          <w:color w:val="080705"/>
          <w:sz w:val="36"/>
          <w:szCs w:val="36"/>
        </w:rPr>
        <w:t xml:space="preserve">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 xml:space="preserve"/>
      </w:r>
    </w:p>
    <w:p>
      <w:pPr>
        <w:pStyle w:val="Heading1"/>
        <w:spacing w:after="160" w:before="400"/>
      </w:pPr>
      <w:r>
        <w:rPr>
          <w:rFonts w:ascii="Georgia" w:cs="Georgia" w:eastAsia="Georgia" w:hAnsi="Georgia"/>
          <w:b/>
          <w:bCs/>
          <w:color w:val="080705"/>
          <w:sz w:val="36"/>
          <w:szCs w:val="36"/>
        </w:rPr>
        <w:t xml:space="preserve">01 · IDENTITY FOUNDATION</w:t>
      </w:r>
    </w:p>
    <w:p>
      <w:pPr>
        <w:pStyle w:val="Heading2"/>
        <w:pBdr>
          <w:bottom w:val="single" w:color="c8612a" w:sz="4" w:space="4"/>
        </w:pBdr>
        <w:spacing w:after="120" w:before="320"/>
      </w:pPr>
      <w:r>
        <w:rPr>
          <w:rFonts w:ascii="Georgia" w:cs="Georgia" w:eastAsia="Georgia" w:hAnsi="Georgia"/>
          <w:b/>
          <w:bCs/>
          <w:color w:val="080705"/>
          <w:sz w:val="28"/>
          <w:szCs w:val="28"/>
        </w:rPr>
        <w:t xml:space="preserve">Who is Intitech</w:t>
      </w:r>
    </w:p>
    <w:p>
      <w:pPr>
        <w:spacing w:after="120" w:before="120"/>
        <w:jc w:val="left"/>
      </w:pPr>
      <w:r>
        <w:rPr>
          <w:rFonts w:ascii="Arial" w:cs="Arial" w:eastAsia="Arial" w:hAnsi="Arial"/>
          <w:color w:val="000000"/>
          <w:sz w:val="22"/>
          <w:szCs w:val="22"/>
        </w:rPr>
        <w:t xml:space="preserve">Intitech is Abdulawwal Intisor Mawupego — a final-year Software Engineering student at FUTA (Federal University of Technology Akure), Nigeria. Backend engineer. Pattern recognizer. Builder of fast, resource-efficient systems that solve real problems.</w:t>
      </w:r>
    </w:p>
    <w:p>
      <w:pPr>
        <w:spacing w:after="120" w:before="120"/>
        <w:jc w:val="left"/>
      </w:pPr>
      <w:r>
        <w:rPr>
          <w:rFonts w:ascii="Arial" w:cs="Arial" w:eastAsia="Arial" w:hAnsi="Arial"/>
          <w:color w:val="000000"/>
          <w:sz w:val="22"/>
          <w:szCs w:val="22"/>
        </w:rPr>
        <w:t xml:space="preserve">Not another fintech clone. Not a calculator app dressed as a startup. The kind of engineer who sees his mother's tape measure and thinks in architecture.</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The Name</w:t>
      </w:r>
    </w:p>
    <w:p>
      <w:pPr>
        <w:spacing w:after="120" w:before="120"/>
        <w:jc w:val="left"/>
      </w:pPr>
      <w:r>
        <w:rPr>
          <w:rFonts w:ascii="Arial" w:cs="Arial" w:eastAsia="Arial" w:hAnsi="Arial"/>
          <w:b/>
          <w:bCs/>
          <w:color w:val="000000"/>
          <w:sz w:val="22"/>
          <w:szCs w:val="22"/>
        </w:rPr>
        <w:t xml:space="preserve">INTITECH is not arbitrary. It is a cipher.</w:t>
      </w:r>
    </w:p>
    <w:p>
      <w:pPr>
        <w:spacing w:after="0" w:before="80"/>
      </w:pPr>
      <w:r>
        <w:t xml:space="preserve"/>
      </w:r>
    </w:p>
    <w:p>
      <w:pPr>
        <w:spacing w:after="120" w:before="120"/>
        <w:jc w:val="center"/>
      </w:pPr>
      <w:r>
        <w:rPr>
          <w:rFonts w:ascii="Georgia" w:cs="Georgia" w:eastAsia="Georgia" w:hAnsi="Georgia"/>
          <w:b/>
          <w:bCs/>
          <w:color w:val="6b6355"/>
          <w:sz w:val="40"/>
          <w:szCs w:val="40"/>
        </w:rPr>
        <w:t xml:space="preserve">IN</w:t>
      </w:r>
      <w:r>
        <w:rPr>
          <w:rFonts w:ascii="Georgia" w:cs="Georgia" w:eastAsia="Georgia" w:hAnsi="Georgia"/>
          <w:i/>
          <w:iCs/>
          <w:color w:val="D4C9B8"/>
          <w:sz w:val="40"/>
          <w:szCs w:val="40"/>
        </w:rPr>
        <w:t xml:space="preserve">nova</w:t>
      </w:r>
      <w:r>
        <w:rPr>
          <w:rFonts w:ascii="Georgia" w:cs="Georgia" w:eastAsia="Georgia" w:hAnsi="Georgia"/>
          <w:b/>
          <w:bCs/>
          <w:color w:val="6b6355"/>
          <w:sz w:val="40"/>
          <w:szCs w:val="40"/>
        </w:rPr>
        <w:t xml:space="preserve">TI</w:t>
      </w:r>
      <w:r>
        <w:rPr>
          <w:rFonts w:ascii="Georgia" w:cs="Georgia" w:eastAsia="Georgia" w:hAnsi="Georgia"/>
          <w:i/>
          <w:iCs/>
          <w:color w:val="D4C9B8"/>
          <w:sz w:val="40"/>
          <w:szCs w:val="40"/>
        </w:rPr>
        <w:t xml:space="preserve">ve </w:t>
      </w:r>
      <w:r>
        <w:rPr>
          <w:rFonts w:ascii="Georgia" w:cs="Georgia" w:eastAsia="Georgia" w:hAnsi="Georgia"/>
          <w:b/>
          <w:bCs/>
          <w:color w:val="080705"/>
          <w:sz w:val="40"/>
          <w:szCs w:val="40"/>
        </w:rPr>
        <w:t xml:space="preserve">TECH</w:t>
      </w:r>
    </w:p>
    <w:p>
      <w:pPr>
        <w:spacing w:after="160" w:before="0"/>
        <w:jc w:val="center"/>
      </w:pPr>
      <w:r>
        <w:rPr>
          <w:rFonts w:ascii="Courier New" w:cs="Courier New" w:eastAsia="Courier New" w:hAnsi="Courier New"/>
          <w:color w:val="c8612a"/>
          <w:sz w:val="18"/>
          <w:szCs w:val="18"/>
        </w:rPr>
        <w:t xml:space="preserve">IN·nova·TI·ve·TECH  →  INTITECH</w:t>
      </w:r>
    </w:p>
    <w:p>
      <w:pPr>
        <w:spacing w:after="120" w:before="120"/>
        <w:jc w:val="left"/>
      </w:pPr>
      <w:r>
        <w:rPr>
          <w:rFonts w:ascii="Arial" w:cs="Arial" w:eastAsia="Arial" w:hAnsi="Arial"/>
          <w:color w:val="000000"/>
          <w:sz w:val="22"/>
          <w:szCs w:val="22"/>
        </w:rPr>
        <w:t xml:space="preserve">The brand name is hidden inside the philosophy. Innovative Tech. Those who look closely will see it — those who don't still know exactly what it means. That duality is intentional. It mirrors how Intitech works: pattern recognition hiding in plain sight.</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The Full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Full Name</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Abdulawwal Intisor Mawupego</w:t>
            </w:r>
          </w:p>
        </w:tc>
      </w:tr>
      <w:tr>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Brand / Tech Name</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INTITECH</w:t>
            </w:r>
          </w:p>
        </w:tc>
      </w:tr>
      <w:tr>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Name Origin</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i/>
                <w:iCs/>
                <w:color w:val="000000"/>
                <w:sz w:val="20"/>
                <w:szCs w:val="20"/>
              </w:rPr>
              <w:t xml:space="preserve">Abdulawwal (Arabic) — Servant of the First. Intisor — the bridge to INTITECH. Mawupego (Ewe/Ghanaian) — God has given me this.</w:t>
            </w:r>
          </w:p>
        </w:tc>
      </w:tr>
      <w:tr>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SEO Strategy</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Both "Intisor Abdulawwal" and "INTITECH" point to intitech.dev via JSON-LD Person schema with alternateName fields.</w:t>
            </w:r>
          </w:p>
        </w:tc>
      </w:tr>
    </w:tbl>
    <w:p>
      <w:pPr>
        <w:spacing w:after="0" w:before="20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Tagline</w:t>
      </w:r>
    </w:p>
    <w:p>
      <w:pPr>
        <w:pBdr>
          <w:left w:val="single" w:color="c8612a" w:sz="14" w:space="10"/>
        </w:pBdr>
        <w:spacing w:after="200" w:before="200"/>
        <w:ind w:left="360"/>
      </w:pPr>
      <w:r>
        <w:rPr>
          <w:rFonts w:ascii="Georgia" w:cs="Georgia" w:eastAsia="Georgia" w:hAnsi="Georgia"/>
          <w:i/>
          <w:iCs/>
          <w:color w:val="3A3428"/>
          <w:sz w:val="26"/>
          <w:szCs w:val="26"/>
        </w:rPr>
        <w:t xml:space="preserve">"I build what's needed."</w:t>
      </w:r>
    </w:p>
    <w:p>
      <w:pPr>
        <w:spacing w:after="120" w:before="120"/>
        <w:jc w:val="left"/>
      </w:pPr>
      <w:r>
        <w:rPr>
          <w:rFonts w:ascii="Arial" w:cs="Arial" w:eastAsia="Arial" w:hAnsi="Arial"/>
          <w:i/>
          <w:iCs/>
          <w:color w:val="000000"/>
          <w:sz w:val="22"/>
          <w:szCs w:val="22"/>
        </w:rPr>
        <w:t xml:space="preserve">Five words. No fluff. Not what's trending. Not what's been built before. Not what gets VC applause. What's needed. It implies proximity. It implies purpose. It implies looking around, seeing the gap, and filling it.</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Philosophy — Pattern Recognition from Proximity</w:t>
      </w:r>
    </w:p>
    <w:p>
      <w:pPr>
        <w:spacing w:after="120" w:before="120"/>
        <w:jc w:val="left"/>
      </w:pPr>
      <w:r>
        <w:rPr>
          <w:rFonts w:ascii="Arial" w:cs="Arial" w:eastAsia="Arial" w:hAnsi="Arial"/>
          <w:color w:val="000000"/>
          <w:sz w:val="22"/>
          <w:szCs w:val="22"/>
        </w:rPr>
        <w:t xml:space="preserve">Every Intitech product comes from being close to a problem. Not reading about it in a Medium article. Not copying a YC startup idea.</w:t>
      </w:r>
    </w:p>
    <w:p>
      <w:pPr>
        <w:spacing w:after="0" w:before="60"/>
      </w:pPr>
      <w:r>
        <w:t xml:space="preserve"/>
      </w:r>
    </w:p>
    <w:p>
      <w:pPr>
        <w:pStyle w:val="ListParagraph"/>
        <w:numPr>
          <w:ilvl w:val="0"/>
          <w:numId w:val="2"/>
        </w:numPr>
        <w:spacing w:after="80" w:before="80"/>
      </w:pPr>
      <w:r>
        <w:rPr>
          <w:rFonts w:ascii="Arial" w:cs="Arial" w:eastAsia="Arial" w:hAnsi="Arial"/>
          <w:sz w:val="22"/>
          <w:szCs w:val="22"/>
        </w:rPr>
        <w:t xml:space="preserve">Saw his mother's tailoring shop → built Zikfash</w:t>
      </w:r>
    </w:p>
    <w:p>
      <w:pPr>
        <w:pStyle w:val="ListParagraph"/>
        <w:numPr>
          <w:ilvl w:val="0"/>
          <w:numId w:val="2"/>
        </w:numPr>
        <w:spacing w:after="80" w:before="80"/>
      </w:pPr>
      <w:r>
        <w:rPr>
          <w:rFonts w:ascii="Arial" w:cs="Arial" w:eastAsia="Arial" w:hAnsi="Arial"/>
          <w:sz w:val="22"/>
          <w:szCs w:val="22"/>
        </w:rPr>
        <w:t xml:space="preserve">Became AGS of AMSA Nigeria → built the Reporting System and AMSA API</w:t>
      </w:r>
    </w:p>
    <w:p>
      <w:pPr>
        <w:pStyle w:val="ListParagraph"/>
        <w:numPr>
          <w:ilvl w:val="0"/>
          <w:numId w:val="2"/>
        </w:numPr>
        <w:spacing w:after="80" w:before="80"/>
      </w:pPr>
      <w:r>
        <w:rPr>
          <w:rFonts w:ascii="Arial" w:cs="Arial" w:eastAsia="Arial" w:hAnsi="Arial"/>
          <w:sz w:val="22"/>
          <w:szCs w:val="22"/>
        </w:rPr>
        <w:t xml:space="preserve">Saw Nigerian banks had no APIs → built FinSight</w:t>
      </w:r>
    </w:p>
    <w:p>
      <w:pPr>
        <w:pStyle w:val="ListParagraph"/>
        <w:numPr>
          <w:ilvl w:val="0"/>
          <w:numId w:val="2"/>
        </w:numPr>
        <w:spacing w:after="80" w:before="80"/>
      </w:pPr>
      <w:r>
        <w:rPr>
          <w:rFonts w:ascii="Arial" w:cs="Arial" w:eastAsia="Arial" w:hAnsi="Arial"/>
          <w:sz w:val="22"/>
          <w:szCs w:val="22"/>
        </w:rPr>
        <w:t xml:space="preserve">Saw no one building for Nigerian kitchens → built Kilanje</w:t>
      </w:r>
    </w:p>
    <w:p>
      <w:pPr>
        <w:spacing w:after="0" w:before="60"/>
      </w:pPr>
      <w:r>
        <w:t xml:space="preserve"/>
      </w:r>
    </w:p>
    <w:p>
      <w:pPr>
        <w:spacing w:after="120" w:before="120"/>
        <w:jc w:val="left"/>
      </w:pPr>
      <w:r>
        <w:rPr>
          <w:rFonts w:ascii="Arial" w:cs="Arial" w:eastAsia="Arial" w:hAnsi="Arial"/>
          <w:color w:val="000000"/>
          <w:sz w:val="22"/>
          <w:szCs w:val="22"/>
        </w:rPr>
        <w:t xml:space="preserve">Most developers build for markets. Intitech builds from relationships. That's the differentiator. That's the engine behind the tagline.</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What Intitech IS</w:t>
            </w:r>
          </w:p>
        </w:tc>
        <w:tc>
          <w:tcPr>
            <w:tcW w:type="dxa" w:w="468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What Intitech IS NOT</w:t>
            </w:r>
          </w:p>
        </w:tc>
      </w:tr>
      <w:tr>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Fast, resource-efficient systems</w:t>
            </w:r>
          </w:p>
        </w:tc>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Another fintech clone</w:t>
            </w:r>
          </w:p>
        </w:tc>
      </w:tr>
      <w:tr>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Innovative — building what's not being built</w:t>
            </w:r>
          </w:p>
        </w:tc>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 calculator app dressed as a startup</w:t>
            </w:r>
          </w:p>
        </w:tc>
      </w:tr>
      <w:tr>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From the trenches, competing globally</w:t>
            </w:r>
          </w:p>
        </w:tc>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Waiting for infrastructure to exist</w:t>
            </w:r>
          </w:p>
        </w:tc>
      </w:tr>
      <w:tr>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Building from proximity and relationships</w:t>
            </w:r>
          </w:p>
        </w:tc>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Building for abstract markets</w:t>
            </w:r>
          </w:p>
        </w:tc>
      </w:tr>
      <w:tr>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Rooted in Nigeria, reaching globally</w:t>
            </w:r>
          </w:p>
        </w:tc>
        <w:tc>
          <w:tcPr>
            <w:tcW w:type="dxa" w:w="468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Apologetic about origin or context</w:t>
            </w:r>
          </w:p>
        </w:tc>
      </w:tr>
    </w:tbl>
    <w:p>
      <w:r>
        <w:br/>
        <w:t xml:space="preserve"/>
      </w:r>
    </w:p>
    <w:p>
      <w:pPr>
        <w:pStyle w:val="Heading1"/>
        <w:spacing w:after="160" w:before="400"/>
      </w:pPr>
      <w:r>
        <w:rPr>
          <w:rFonts w:ascii="Georgia" w:cs="Georgia" w:eastAsia="Georgia" w:hAnsi="Georgia"/>
          <w:b/>
          <w:bCs/>
          <w:color w:val="080705"/>
          <w:sz w:val="36"/>
          <w:szCs w:val="36"/>
        </w:rPr>
        <w:t xml:space="preserve">02 · VISUAL IDENTITY</w:t>
      </w:r>
    </w:p>
    <w:p>
      <w:pPr>
        <w:pStyle w:val="Heading2"/>
        <w:pBdr>
          <w:bottom w:val="single" w:color="c8612a" w:sz="4" w:space="4"/>
        </w:pBdr>
        <w:spacing w:after="120" w:before="320"/>
      </w:pPr>
      <w:r>
        <w:rPr>
          <w:rFonts w:ascii="Georgia" w:cs="Georgia" w:eastAsia="Georgia" w:hAnsi="Georgia"/>
          <w:b/>
          <w:bCs/>
          <w:color w:val="080705"/>
          <w:sz w:val="28"/>
          <w:szCs w:val="28"/>
        </w:rPr>
        <w:t xml:space="preserve">Aesthetic Direction</w:t>
      </w:r>
    </w:p>
    <w:p>
      <w:pPr>
        <w:spacing w:after="120" w:before="120"/>
        <w:jc w:val="left"/>
      </w:pPr>
      <w:r>
        <w:rPr>
          <w:rFonts w:ascii="Arial" w:cs="Arial" w:eastAsia="Arial" w:hAnsi="Arial"/>
          <w:b/>
          <w:bCs/>
          <w:color w:val="000000"/>
          <w:sz w:val="22"/>
          <w:szCs w:val="22"/>
        </w:rPr>
        <w:t xml:space="preserve">Dark. Noisy. Archaic architecture.</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Dark — near-void black backgrounds. Not navy. Not charcoal. Void.</w:t>
      </w:r>
    </w:p>
    <w:p>
      <w:pPr>
        <w:pStyle w:val="ListParagraph"/>
        <w:numPr>
          <w:ilvl w:val="0"/>
          <w:numId w:val="2"/>
        </w:numPr>
        <w:spacing w:after="80" w:before="80"/>
      </w:pPr>
      <w:r>
        <w:rPr>
          <w:rFonts w:ascii="Arial" w:cs="Arial" w:eastAsia="Arial" w:hAnsi="Arial"/>
          <w:sz w:val="22"/>
          <w:szCs w:val="22"/>
        </w:rPr>
        <w:t xml:space="preserve">Noisy — SVG grain texture overlaid on everything. Old film. Weathered stone.</w:t>
      </w:r>
    </w:p>
    <w:p>
      <w:pPr>
        <w:pStyle w:val="ListParagraph"/>
        <w:numPr>
          <w:ilvl w:val="0"/>
          <w:numId w:val="2"/>
        </w:numPr>
        <w:spacing w:after="80" w:before="80"/>
      </w:pPr>
      <w:r>
        <w:rPr>
          <w:rFonts w:ascii="Arial" w:cs="Arial" w:eastAsia="Arial" w:hAnsi="Arial"/>
          <w:sz w:val="22"/>
          <w:szCs w:val="22"/>
        </w:rPr>
        <w:t xml:space="preserve">Archaic architecture — Roman aqueducts energy. Heavy serifs. Latin-feeling type. Ancient documentation system meets digital infrastructure.</w:t>
      </w:r>
    </w:p>
    <w:p>
      <w:pPr>
        <w:spacing w:after="0" w:before="80"/>
      </w:pPr>
      <w:r>
        <w:t xml:space="preserve"/>
      </w:r>
    </w:p>
    <w:p>
      <w:pPr>
        <w:spacing w:after="120" w:before="120"/>
        <w:jc w:val="left"/>
      </w:pPr>
      <w:r>
        <w:rPr>
          <w:rFonts w:ascii="Arial" w:cs="Arial" w:eastAsia="Arial" w:hAnsi="Arial"/>
          <w:color w:val="000000"/>
          <w:sz w:val="22"/>
          <w:szCs w:val="22"/>
        </w:rPr>
        <w:t xml:space="preserve">The aesthetic is not decoration. It mirrors the philosophy: built to endure, nothing wasted, everything deliberate.</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Role</w:t>
            </w:r>
          </w:p>
        </w:tc>
        <w:tc>
          <w:tcPr>
            <w:tcW w:type="dxa" w:w="30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Font</w:t>
            </w:r>
          </w:p>
        </w:tc>
        <w:tc>
          <w:tcPr>
            <w:tcW w:type="dxa" w:w="436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Usage</w:t>
            </w:r>
          </w:p>
        </w:tc>
      </w:tr>
      <w:tr>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Display</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Cinzel (Google Fonts)</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INTITECH wordmark, section headings, all-caps labels</w:t>
            </w:r>
          </w:p>
        </w:tc>
      </w:tr>
      <w:tr>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Body / Prose</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IM Fell English (Google Fonts)</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Blog post body, taglines, descriptive copy, pull quotes</w:t>
            </w:r>
          </w:p>
        </w:tc>
      </w:tr>
      <w:tr>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Technical / Mono</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JetBrains Mono (Google Fonts)</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Code blocks, API metrics, labels, nav links, hex values, timestamps</w:t>
            </w:r>
          </w:p>
        </w:tc>
      </w:tr>
    </w:tbl>
    <w:p>
      <w:pPr>
        <w:spacing w:after="0" w:before="120"/>
      </w:pPr>
      <w:r>
        <w:t xml:space="preserve"/>
      </w:r>
    </w:p>
    <w:p>
      <w:pPr>
        <w:spacing w:after="120" w:before="120"/>
        <w:jc w:val="left"/>
      </w:pPr>
      <w:r>
        <w:rPr>
          <w:rFonts w:ascii="Arial" w:cs="Arial" w:eastAsia="Arial" w:hAnsi="Arial"/>
          <w:color w:val="000000"/>
          <w:sz w:val="22"/>
          <w:szCs w:val="22"/>
        </w:rPr>
        <w:t xml:space="preserve">All three fonts are free on Google Fonts. The contrast between ancient letterforms (Cinzel) and modern mono metrics (JetBrains Mono) is the core typographic tension of the brand.</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The Logo Mark — Karakul Cap</w:t>
      </w:r>
    </w:p>
    <w:p>
      <w:pPr>
        <w:spacing w:after="120" w:before="120"/>
        <w:jc w:val="left"/>
      </w:pPr>
      <w:r>
        <w:rPr>
          <w:rFonts w:ascii="Arial" w:cs="Arial" w:eastAsia="Arial" w:hAnsi="Arial"/>
          <w:color w:val="000000"/>
          <w:sz w:val="22"/>
          <w:szCs w:val="22"/>
        </w:rPr>
        <w:t xml:space="preserve">The Intitech logo mark is derived from the Karakul cap — a traditional cap widely worn across Muslim and Central/West African communities. Abdulawwal is recognized by his Karakul cap in crowds. When he eventually starts content creation, the cap will be his visual trademark.</w:t>
      </w:r>
    </w:p>
    <w:p>
      <w:pPr>
        <w:spacing w:after="0" w:before="80"/>
      </w:pPr>
      <w:r>
        <w:t xml:space="preserve"/>
      </w:r>
    </w:p>
    <w:p>
      <w:pPr>
        <w:spacing w:after="120" w:before="120"/>
        <w:jc w:val="left"/>
      </w:pPr>
      <w:r>
        <w:rPr>
          <w:rFonts w:ascii="Arial" w:cs="Arial" w:eastAsia="Arial" w:hAnsi="Arial"/>
          <w:b/>
          <w:bCs/>
          <w:color w:val="000000"/>
          <w:sz w:val="22"/>
          <w:szCs w:val="22"/>
        </w:rPr>
        <w:t xml:space="preserve">Mark description:</w:t>
      </w:r>
    </w:p>
    <w:p>
      <w:pPr>
        <w:pStyle w:val="ListParagraph"/>
        <w:numPr>
          <w:ilvl w:val="0"/>
          <w:numId w:val="2"/>
        </w:numPr>
        <w:spacing w:after="80" w:before="80"/>
      </w:pPr>
      <w:r>
        <w:rPr>
          <w:rFonts w:ascii="Arial" w:cs="Arial" w:eastAsia="Arial" w:hAnsi="Arial"/>
          <w:sz w:val="22"/>
          <w:szCs w:val="22"/>
        </w:rPr>
        <w:t xml:space="preserve">Front-facing view — authoritative, looking straight at the viewer</w:t>
      </w:r>
    </w:p>
    <w:p>
      <w:pPr>
        <w:pStyle w:val="ListParagraph"/>
        <w:numPr>
          <w:ilvl w:val="0"/>
          <w:numId w:val="2"/>
        </w:numPr>
        <w:spacing w:after="80" w:before="80"/>
      </w:pPr>
      <w:r>
        <w:rPr>
          <w:rFonts w:ascii="Arial" w:cs="Arial" w:eastAsia="Arial" w:hAnsi="Arial"/>
          <w:sz w:val="22"/>
          <w:szCs w:val="22"/>
        </w:rPr>
        <w:t xml:space="preserve">Plain black, no texture, no fluff — geometric trapezoid silhouette</w:t>
      </w:r>
    </w:p>
    <w:p>
      <w:pPr>
        <w:pStyle w:val="ListParagraph"/>
        <w:numPr>
          <w:ilvl w:val="0"/>
          <w:numId w:val="2"/>
        </w:numPr>
        <w:spacing w:after="80" w:before="80"/>
      </w:pPr>
      <w:r>
        <w:rPr>
          <w:rFonts w:ascii="Arial" w:cs="Arial" w:eastAsia="Arial" w:hAnsi="Arial"/>
          <w:sz w:val="22"/>
          <w:szCs w:val="22"/>
        </w:rPr>
        <w:t xml:space="preserve">Folded rim as single clean curved line at the crown</w:t>
      </w:r>
    </w:p>
    <w:p>
      <w:pPr>
        <w:pStyle w:val="ListParagraph"/>
        <w:numPr>
          <w:ilvl w:val="0"/>
          <w:numId w:val="2"/>
        </w:numPr>
        <w:spacing w:after="80" w:before="80"/>
      </w:pPr>
      <w:r>
        <w:rPr>
          <w:rFonts w:ascii="Arial" w:cs="Arial" w:eastAsia="Arial" w:hAnsi="Arial"/>
          <w:sz w:val="22"/>
          <w:szCs w:val="22"/>
        </w:rPr>
        <w:t xml:space="preserve">Bold "INTI" in a contrasting color written on the cap face — the cipher made visible</w:t>
      </w:r>
    </w:p>
    <w:p>
      <w:pPr>
        <w:pStyle w:val="ListParagraph"/>
        <w:numPr>
          <w:ilvl w:val="0"/>
          <w:numId w:val="2"/>
        </w:numPr>
        <w:spacing w:after="80" w:before="80"/>
      </w:pPr>
      <w:r>
        <w:rPr>
          <w:rFonts w:ascii="Arial" w:cs="Arial" w:eastAsia="Arial" w:hAnsi="Arial"/>
          <w:sz w:val="22"/>
          <w:szCs w:val="22"/>
        </w:rPr>
        <w:t xml:space="preserve">Single vertical seam line — minimal, precise</w:t>
      </w:r>
    </w:p>
    <w:p>
      <w:pPr>
        <w:spacing w:after="0" w:before="80"/>
      </w:pPr>
      <w:r>
        <w:t xml:space="preserve"/>
      </w:r>
    </w:p>
    <w:p>
      <w:pPr>
        <w:spacing w:after="120" w:before="120"/>
        <w:jc w:val="left"/>
      </w:pPr>
      <w:r>
        <w:rPr>
          <w:rFonts w:ascii="Arial" w:cs="Arial" w:eastAsia="Arial" w:hAnsi="Arial"/>
          <w:b/>
          <w:bCs/>
          <w:color w:val="000000"/>
          <w:sz w:val="22"/>
          <w:szCs w:val="22"/>
        </w:rPr>
        <w:t xml:space="preserve">Logo states:</w:t>
      </w:r>
    </w:p>
    <w:p>
      <w:pPr>
        <w:pStyle w:val="ListParagraph"/>
        <w:numPr>
          <w:ilvl w:val="0"/>
          <w:numId w:val="2"/>
        </w:numPr>
        <w:spacing w:after="80" w:before="80"/>
      </w:pPr>
      <w:r>
        <w:rPr>
          <w:rFonts w:ascii="Arial" w:cs="Arial" w:eastAsia="Arial" w:hAnsi="Arial"/>
          <w:sz w:val="22"/>
          <w:szCs w:val="22"/>
        </w:rPr>
        <w:t xml:space="preserve">Mark Light — parchment (#c9b99a) cap on light background</w:t>
      </w:r>
    </w:p>
    <w:p>
      <w:pPr>
        <w:pStyle w:val="ListParagraph"/>
        <w:numPr>
          <w:ilvl w:val="0"/>
          <w:numId w:val="2"/>
        </w:numPr>
        <w:spacing w:after="80" w:before="80"/>
      </w:pPr>
      <w:r>
        <w:rPr>
          <w:rFonts w:ascii="Arial" w:cs="Arial" w:eastAsia="Arial" w:hAnsi="Arial"/>
          <w:sz w:val="22"/>
          <w:szCs w:val="22"/>
        </w:rPr>
        <w:t xml:space="preserve">Mark Dark — dark cap (#1c1a13) with sediment border on void background</w:t>
      </w:r>
    </w:p>
    <w:p>
      <w:pPr>
        <w:pStyle w:val="ListParagraph"/>
        <w:numPr>
          <w:ilvl w:val="0"/>
          <w:numId w:val="2"/>
        </w:numPr>
        <w:spacing w:after="80" w:before="80"/>
      </w:pPr>
      <w:r>
        <w:rPr>
          <w:rFonts w:ascii="Arial" w:cs="Arial" w:eastAsia="Arial" w:hAnsi="Arial"/>
          <w:sz w:val="22"/>
          <w:szCs w:val="22"/>
        </w:rPr>
        <w:t xml:space="preserve">Mark Ember — dark cap with ember (#c8612a) stroke — for hover/active states</w:t>
      </w:r>
    </w:p>
    <w:p>
      <w:pPr>
        <w:spacing w:after="0" w:before="80"/>
      </w:pPr>
      <w:r>
        <w:t xml:space="preserve"/>
      </w:r>
    </w:p>
    <w:p>
      <w:pPr>
        <w:spacing w:after="120" w:before="120"/>
        <w:jc w:val="left"/>
      </w:pPr>
      <w:r>
        <w:rPr>
          <w:rFonts w:ascii="Arial" w:cs="Arial" w:eastAsia="Arial" w:hAnsi="Arial"/>
          <w:color w:val="000000"/>
          <w:sz w:val="22"/>
          <w:szCs w:val="22"/>
        </w:rPr>
        <w:t xml:space="preserve">The full lockup = Mark + INTITECH wordmark + "I build what's needed." tagline. File: intitech-logo-system.svg</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Grain Texture</w:t>
      </w:r>
    </w:p>
    <w:p>
      <w:pPr>
        <w:spacing w:after="120" w:before="120"/>
        <w:jc w:val="left"/>
      </w:pPr>
      <w:r>
        <w:rPr>
          <w:rFonts w:ascii="Arial" w:cs="Arial" w:eastAsia="Arial" w:hAnsi="Arial"/>
          <w:color w:val="000000"/>
          <w:sz w:val="22"/>
          <w:szCs w:val="22"/>
        </w:rPr>
        <w:t xml:space="preserve">Applied as a fixed SVG filter overlay across all pages and components. Opacity: 0.05. Mix-blend-mode: overlay. Generated inline — no external image file needed.</w:t>
      </w:r>
    </w:p>
    <w:p>
      <w:pPr>
        <w:spacing w:after="100" w:before="100"/>
      </w:pPr>
      <w:r>
        <w:rPr>
          <w:rFonts w:ascii="Courier New" w:cs="Courier New" w:eastAsia="Courier New" w:hAnsi="Courier New"/>
          <w:color w:val="6b6355"/>
          <w:sz w:val="18"/>
          <w:szCs w:val="18"/>
        </w:rPr>
        <w:t xml:space="preserve">body::before { background-image: url("data:image/svg+xml,...fractalNoise..."); opacity: .05; mix-blend-mode: overlay; }</w:t>
      </w:r>
    </w:p>
    <w:p>
      <w:r>
        <w:br/>
        <w:t xml:space="preserve"/>
      </w:r>
    </w:p>
    <w:p>
      <w:pPr>
        <w:pStyle w:val="Heading1"/>
        <w:spacing w:after="160" w:before="400"/>
      </w:pPr>
      <w:r>
        <w:rPr>
          <w:rFonts w:ascii="Georgia" w:cs="Georgia" w:eastAsia="Georgia" w:hAnsi="Georgia"/>
          <w:b/>
          <w:bCs/>
          <w:color w:val="080705"/>
          <w:sz w:val="36"/>
          <w:szCs w:val="36"/>
        </w:rPr>
        <w:t xml:space="preserve">03 · COLOR SYSTEM</w:t>
      </w:r>
    </w:p>
    <w:p>
      <w:pPr>
        <w:spacing w:after="120" w:before="120"/>
        <w:jc w:val="left"/>
      </w:pPr>
      <w:r>
        <w:rPr>
          <w:rFonts w:ascii="Arial" w:cs="Arial" w:eastAsia="Arial" w:hAnsi="Arial"/>
          <w:i/>
          <w:iCs/>
          <w:color w:val="000000"/>
          <w:sz w:val="22"/>
          <w:szCs w:val="22"/>
        </w:rPr>
        <w:t xml:space="preserve">The palette is organized into four groups: Soil (dark neutrals), Clay (warm neutrals), Heat (ember and gold), Growth (agro greens). Each group carries meaning that maps to the identity.</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Soil — The Foundation</w:t>
      </w:r>
    </w:p>
    <w:p>
      <w:pPr>
        <w:spacing w:after="120" w:before="120"/>
        <w:jc w:val="left"/>
      </w:pPr>
      <w:r>
        <w:rPr>
          <w:rFonts w:ascii="Arial" w:cs="Arial" w:eastAsia="Arial" w:hAnsi="Arial"/>
          <w:color w:val="000000"/>
          <w:sz w:val="22"/>
          <w:szCs w:val="22"/>
        </w:rPr>
        <w:t xml:space="preserve">Identity runs deep. These are the background and surface colors. Nothing trendy, nothing that dates.</w:t>
      </w:r>
    </w:p>
    <w:p>
      <w:pPr>
        <w:spacing w:after="0" w:before="80"/>
      </w:pPr>
      <w: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tblGrid>
      <w:tr>
        <w:tc>
          <w:tcPr>
            <w:tcW w:type="dxa" w:w="900"/>
            <w:tcBorders>
              <w:top w:val="single" w:color="D4C9B8" w:sz="1"/>
              <w:left w:val="single" w:color="D4C9B8" w:sz="1"/>
              <w:bottom w:val="single" w:color="D4C9B8" w:sz="1"/>
              <w:right w:val="single" w:color="D4C9B8" w:sz="1"/>
            </w:tcBorders>
            <w:shd w:fill="080705"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VOID</w:t>
            </w:r>
          </w:p>
          <w:p>
            <w:pPr>
              <w:spacing w:after="20" w:before="0"/>
              <w:jc w:val="left"/>
            </w:pPr>
            <w:r>
              <w:rPr>
                <w:rFonts w:ascii="Courier New" w:cs="Courier New" w:eastAsia="Courier New" w:hAnsi="Courier New"/>
                <w:color w:val="6b6355"/>
                <w:sz w:val="18"/>
                <w:szCs w:val="18"/>
              </w:rPr>
              <w:t xml:space="preserve">#080705</w:t>
            </w:r>
          </w:p>
          <w:p>
            <w:pPr>
              <w:spacing w:after="40" w:before="0"/>
              <w:jc w:val="left"/>
            </w:pPr>
            <w:r>
              <w:rPr>
                <w:rFonts w:ascii="Arial" w:cs="Arial" w:eastAsia="Arial" w:hAnsi="Arial"/>
                <w:i/>
                <w:iCs/>
                <w:color w:val="6b6355"/>
                <w:sz w:val="18"/>
                <w:szCs w:val="18"/>
              </w:rPr>
              <w:t xml:space="preserve">Page background — the deepest dark</w:t>
            </w:r>
          </w:p>
        </w:tc>
      </w:tr>
      <w:tr>
        <w:tc>
          <w:tcPr>
            <w:tcW w:type="dxa" w:w="900"/>
            <w:tcBorders>
              <w:top w:val="single" w:color="D4C9B8" w:sz="1"/>
              <w:left w:val="single" w:color="D4C9B8" w:sz="1"/>
              <w:bottom w:val="single" w:color="D4C9B8" w:sz="1"/>
              <w:right w:val="single" w:color="D4C9B8" w:sz="1"/>
            </w:tcBorders>
            <w:shd w:fill="0f0d09"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DEEP EARTH</w:t>
            </w:r>
          </w:p>
          <w:p>
            <w:pPr>
              <w:spacing w:after="20" w:before="0"/>
              <w:jc w:val="left"/>
            </w:pPr>
            <w:r>
              <w:rPr>
                <w:rFonts w:ascii="Courier New" w:cs="Courier New" w:eastAsia="Courier New" w:hAnsi="Courier New"/>
                <w:color w:val="6b6355"/>
                <w:sz w:val="18"/>
                <w:szCs w:val="18"/>
              </w:rPr>
              <w:t xml:space="preserve">#0f0d09</w:t>
            </w:r>
          </w:p>
          <w:p>
            <w:pPr>
              <w:spacing w:after="40" w:before="0"/>
              <w:jc w:val="left"/>
            </w:pPr>
            <w:r>
              <w:rPr>
                <w:rFonts w:ascii="Arial" w:cs="Arial" w:eastAsia="Arial" w:hAnsi="Arial"/>
                <w:i/>
                <w:iCs/>
                <w:color w:val="6b6355"/>
                <w:sz w:val="18"/>
                <w:szCs w:val="18"/>
              </w:rPr>
              <w:t xml:space="preserve">Primary surface, panel backgrounds</w:t>
            </w:r>
          </w:p>
        </w:tc>
      </w:tr>
      <w:tr>
        <w:tc>
          <w:tcPr>
            <w:tcW w:type="dxa" w:w="900"/>
            <w:tcBorders>
              <w:top w:val="single" w:color="D4C9B8" w:sz="1"/>
              <w:left w:val="single" w:color="D4C9B8" w:sz="1"/>
              <w:bottom w:val="single" w:color="D4C9B8" w:sz="1"/>
              <w:right w:val="single" w:color="D4C9B8" w:sz="1"/>
            </w:tcBorders>
            <w:shd w:fill="1c1a13"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TOPSOIL</w:t>
            </w:r>
          </w:p>
          <w:p>
            <w:pPr>
              <w:spacing w:after="20" w:before="0"/>
              <w:jc w:val="left"/>
            </w:pPr>
            <w:r>
              <w:rPr>
                <w:rFonts w:ascii="Courier New" w:cs="Courier New" w:eastAsia="Courier New" w:hAnsi="Courier New"/>
                <w:color w:val="6b6355"/>
                <w:sz w:val="18"/>
                <w:szCs w:val="18"/>
              </w:rPr>
              <w:t xml:space="preserve">#1c1a13</w:t>
            </w:r>
          </w:p>
          <w:p>
            <w:pPr>
              <w:spacing w:after="40" w:before="0"/>
              <w:jc w:val="left"/>
            </w:pPr>
            <w:r>
              <w:rPr>
                <w:rFonts w:ascii="Arial" w:cs="Arial" w:eastAsia="Arial" w:hAnsi="Arial"/>
                <w:i/>
                <w:iCs/>
                <w:color w:val="6b6355"/>
                <w:sz w:val="18"/>
                <w:szCs w:val="18"/>
              </w:rPr>
              <w:t xml:space="preserve">Card backgrounds, secondary surfaces</w:t>
            </w:r>
          </w:p>
        </w:tc>
      </w:tr>
      <w:tr>
        <w:tc>
          <w:tcPr>
            <w:tcW w:type="dxa" w:w="900"/>
            <w:tcBorders>
              <w:top w:val="single" w:color="D4C9B8" w:sz="1"/>
              <w:left w:val="single" w:color="D4C9B8" w:sz="1"/>
              <w:bottom w:val="single" w:color="D4C9B8" w:sz="1"/>
              <w:right w:val="single" w:color="D4C9B8" w:sz="1"/>
            </w:tcBorders>
            <w:shd w:fill="2e2b22"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SEDIMENT</w:t>
            </w:r>
          </w:p>
          <w:p>
            <w:pPr>
              <w:spacing w:after="20" w:before="0"/>
              <w:jc w:val="left"/>
            </w:pPr>
            <w:r>
              <w:rPr>
                <w:rFonts w:ascii="Courier New" w:cs="Courier New" w:eastAsia="Courier New" w:hAnsi="Courier New"/>
                <w:color w:val="6b6355"/>
                <w:sz w:val="18"/>
                <w:szCs w:val="18"/>
              </w:rPr>
              <w:t xml:space="preserve">#2e2b22</w:t>
            </w:r>
          </w:p>
          <w:p>
            <w:pPr>
              <w:spacing w:after="40" w:before="0"/>
              <w:jc w:val="left"/>
            </w:pPr>
            <w:r>
              <w:rPr>
                <w:rFonts w:ascii="Arial" w:cs="Arial" w:eastAsia="Arial" w:hAnsi="Arial"/>
                <w:i/>
                <w:iCs/>
                <w:color w:val="6b6355"/>
                <w:sz w:val="18"/>
                <w:szCs w:val="18"/>
              </w:rPr>
              <w:t xml:space="preserve">All borders and dividers</w:t>
            </w:r>
          </w:p>
        </w:tc>
      </w:tr>
      <w:tr>
        <w:tc>
          <w:tcPr>
            <w:tcW w:type="dxa" w:w="900"/>
            <w:tcBorders>
              <w:top w:val="single" w:color="D4C9B8" w:sz="1"/>
              <w:left w:val="single" w:color="D4C9B8" w:sz="1"/>
              <w:bottom w:val="single" w:color="D4C9B8" w:sz="1"/>
              <w:right w:val="single" w:color="D4C9B8" w:sz="1"/>
            </w:tcBorders>
            <w:shd w:fill="6b6355"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ASH</w:t>
            </w:r>
          </w:p>
          <w:p>
            <w:pPr>
              <w:spacing w:after="20" w:before="0"/>
              <w:jc w:val="left"/>
            </w:pPr>
            <w:r>
              <w:rPr>
                <w:rFonts w:ascii="Courier New" w:cs="Courier New" w:eastAsia="Courier New" w:hAnsi="Courier New"/>
                <w:color w:val="6b6355"/>
                <w:sz w:val="18"/>
                <w:szCs w:val="18"/>
              </w:rPr>
              <w:t xml:space="preserve">#6b6355</w:t>
            </w:r>
          </w:p>
          <w:p>
            <w:pPr>
              <w:spacing w:after="40" w:before="0"/>
              <w:jc w:val="left"/>
            </w:pPr>
            <w:r>
              <w:rPr>
                <w:rFonts w:ascii="Arial" w:cs="Arial" w:eastAsia="Arial" w:hAnsi="Arial"/>
                <w:i/>
                <w:iCs/>
                <w:color w:val="6b6355"/>
                <w:sz w:val="18"/>
                <w:szCs w:val="18"/>
              </w:rPr>
              <w:t xml:space="preserve">Muted / secondary text</w:t>
            </w:r>
          </w:p>
        </w:tc>
      </w:tr>
    </w:tbl>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Clay — Warmth on the Surface</w:t>
      </w:r>
    </w:p>
    <w:p>
      <w:pPr>
        <w:spacing w:after="120" w:before="120"/>
        <w:jc w:val="left"/>
      </w:pPr>
      <w:r>
        <w:rPr>
          <w:rFonts w:ascii="Arial" w:cs="Arial" w:eastAsia="Arial" w:hAnsi="Arial"/>
          <w:color w:val="000000"/>
          <w:sz w:val="22"/>
          <w:szCs w:val="22"/>
        </w:rPr>
        <w:t xml:space="preserve">The text and readability layer. Warm, aged, never clinical white.</w:t>
      </w:r>
    </w:p>
    <w:p>
      <w:pPr>
        <w:spacing w:after="0" w:before="80"/>
      </w:pPr>
      <w: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tblGrid>
      <w:tr>
        <w:tc>
          <w:tcPr>
            <w:tcW w:type="dxa" w:w="900"/>
            <w:tcBorders>
              <w:top w:val="single" w:color="D4C9B8" w:sz="1"/>
              <w:left w:val="single" w:color="D4C9B8" w:sz="1"/>
              <w:bottom w:val="single" w:color="D4C9B8" w:sz="1"/>
              <w:right w:val="single" w:color="D4C9B8" w:sz="1"/>
            </w:tcBorders>
            <w:shd w:fill="c9b99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PARCHMENT</w:t>
            </w:r>
          </w:p>
          <w:p>
            <w:pPr>
              <w:spacing w:after="20" w:before="0"/>
              <w:jc w:val="left"/>
            </w:pPr>
            <w:r>
              <w:rPr>
                <w:rFonts w:ascii="Courier New" w:cs="Courier New" w:eastAsia="Courier New" w:hAnsi="Courier New"/>
                <w:color w:val="6b6355"/>
                <w:sz w:val="18"/>
                <w:szCs w:val="18"/>
              </w:rPr>
              <w:t xml:space="preserve">#c9b99a</w:t>
            </w:r>
          </w:p>
          <w:p>
            <w:pPr>
              <w:spacing w:after="40" w:before="0"/>
              <w:jc w:val="left"/>
            </w:pPr>
            <w:r>
              <w:rPr>
                <w:rFonts w:ascii="Arial" w:cs="Arial" w:eastAsia="Arial" w:hAnsi="Arial"/>
                <w:i/>
                <w:iCs/>
                <w:color w:val="6b6355"/>
                <w:sz w:val="18"/>
                <w:szCs w:val="18"/>
              </w:rPr>
              <w:t xml:space="preserve">Primary body text</w:t>
            </w:r>
          </w:p>
        </w:tc>
      </w:tr>
      <w:tr>
        <w:tc>
          <w:tcPr>
            <w:tcW w:type="dxa" w:w="900"/>
            <w:tcBorders>
              <w:top w:val="single" w:color="D4C9B8" w:sz="1"/>
              <w:left w:val="single" w:color="D4C9B8" w:sz="1"/>
              <w:bottom w:val="single" w:color="D4C9B8" w:sz="1"/>
              <w:right w:val="single" w:color="D4C9B8" w:sz="1"/>
            </w:tcBorders>
            <w:shd w:fill="e8dcc8"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SCRIPT</w:t>
            </w:r>
          </w:p>
          <w:p>
            <w:pPr>
              <w:spacing w:after="20" w:before="0"/>
              <w:jc w:val="left"/>
            </w:pPr>
            <w:r>
              <w:rPr>
                <w:rFonts w:ascii="Courier New" w:cs="Courier New" w:eastAsia="Courier New" w:hAnsi="Courier New"/>
                <w:color w:val="6b6355"/>
                <w:sz w:val="18"/>
                <w:szCs w:val="18"/>
              </w:rPr>
              <w:t xml:space="preserve">#e8dcc8</w:t>
            </w:r>
          </w:p>
          <w:p>
            <w:pPr>
              <w:spacing w:after="40" w:before="0"/>
              <w:jc w:val="left"/>
            </w:pPr>
            <w:r>
              <w:rPr>
                <w:rFonts w:ascii="Arial" w:cs="Arial" w:eastAsia="Arial" w:hAnsi="Arial"/>
                <w:i/>
                <w:iCs/>
                <w:color w:val="6b6355"/>
                <w:sz w:val="18"/>
                <w:szCs w:val="18"/>
              </w:rPr>
              <w:t xml:space="preserve">Headings, emphasis</w:t>
            </w:r>
          </w:p>
        </w:tc>
      </w:tr>
      <w:tr>
        <w:tc>
          <w:tcPr>
            <w:tcW w:type="dxa" w:w="900"/>
            <w:tcBorders>
              <w:top w:val="single" w:color="D4C9B8" w:sz="1"/>
              <w:left w:val="single" w:color="D4C9B8" w:sz="1"/>
              <w:bottom w:val="single" w:color="D4C9B8" w:sz="1"/>
              <w:right w:val="single" w:color="D4C9B8" w:sz="1"/>
            </w:tcBorders>
            <w:shd w:fill="a08060"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RAW CLAY</w:t>
            </w:r>
          </w:p>
          <w:p>
            <w:pPr>
              <w:spacing w:after="20" w:before="0"/>
              <w:jc w:val="left"/>
            </w:pPr>
            <w:r>
              <w:rPr>
                <w:rFonts w:ascii="Courier New" w:cs="Courier New" w:eastAsia="Courier New" w:hAnsi="Courier New"/>
                <w:color w:val="6b6355"/>
                <w:sz w:val="18"/>
                <w:szCs w:val="18"/>
              </w:rPr>
              <w:t xml:space="preserve">#a08060</w:t>
            </w:r>
          </w:p>
          <w:p>
            <w:pPr>
              <w:spacing w:after="40" w:before="0"/>
              <w:jc w:val="left"/>
            </w:pPr>
            <w:r>
              <w:rPr>
                <w:rFonts w:ascii="Arial" w:cs="Arial" w:eastAsia="Arial" w:hAnsi="Arial"/>
                <w:i/>
                <w:iCs/>
                <w:color w:val="6b6355"/>
                <w:sz w:val="18"/>
                <w:szCs w:val="18"/>
              </w:rPr>
              <w:t xml:space="preserve">Mid-tone — breathing room between ash and parchment</w:t>
            </w:r>
          </w:p>
        </w:tc>
      </w:tr>
      <w:tr>
        <w:tc>
          <w:tcPr>
            <w:tcW w:type="dxa" w:w="900"/>
            <w:tcBorders>
              <w:top w:val="single" w:color="D4C9B8" w:sz="1"/>
              <w:left w:val="single" w:color="D4C9B8" w:sz="1"/>
              <w:bottom w:val="single" w:color="D4C9B8" w:sz="1"/>
              <w:right w:val="single" w:color="D4C9B8" w:sz="1"/>
            </w:tcBorders>
            <w:shd w:fill="7a4f35"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TERRACOTTA</w:t>
            </w:r>
          </w:p>
          <w:p>
            <w:pPr>
              <w:spacing w:after="20" w:before="0"/>
              <w:jc w:val="left"/>
            </w:pPr>
            <w:r>
              <w:rPr>
                <w:rFonts w:ascii="Courier New" w:cs="Courier New" w:eastAsia="Courier New" w:hAnsi="Courier New"/>
                <w:color w:val="6b6355"/>
                <w:sz w:val="18"/>
                <w:szCs w:val="18"/>
              </w:rPr>
              <w:t xml:space="preserve">#7a4f35</w:t>
            </w:r>
          </w:p>
          <w:p>
            <w:pPr>
              <w:spacing w:after="40" w:before="0"/>
              <w:jc w:val="left"/>
            </w:pPr>
            <w:r>
              <w:rPr>
                <w:rFonts w:ascii="Arial" w:cs="Arial" w:eastAsia="Arial" w:hAnsi="Arial"/>
                <w:i/>
                <w:iCs/>
                <w:color w:val="6b6355"/>
                <w:sz w:val="18"/>
                <w:szCs w:val="18"/>
              </w:rPr>
              <w:t xml:space="preserve">Warm accent — tags, hover states</w:t>
            </w:r>
          </w:p>
        </w:tc>
      </w:tr>
    </w:tbl>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Heat — Fire and Gold</w:t>
      </w:r>
    </w:p>
    <w:p>
      <w:pPr>
        <w:spacing w:after="120" w:before="120"/>
        <w:jc w:val="left"/>
      </w:pPr>
      <w:r>
        <w:rPr>
          <w:rFonts w:ascii="Arial" w:cs="Arial" w:eastAsia="Arial" w:hAnsi="Arial"/>
          <w:color w:val="000000"/>
          <w:sz w:val="22"/>
          <w:szCs w:val="22"/>
        </w:rPr>
        <w:t xml:space="preserve">Ember is the primary action color. Everything interactive reaches for the ember. Gold is the brand name color. Dry Grass bridges heat and growth — burnt harmattan yellow-green.</w:t>
      </w:r>
    </w:p>
    <w:p>
      <w:pPr>
        <w:spacing w:after="0" w:before="80"/>
      </w:pPr>
      <w: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tblGrid>
      <w:tr>
        <w:tc>
          <w:tcPr>
            <w:tcW w:type="dxa" w:w="900"/>
            <w:tcBorders>
              <w:top w:val="single" w:color="D4C9B8" w:sz="1"/>
              <w:left w:val="single" w:color="D4C9B8" w:sz="1"/>
              <w:bottom w:val="single" w:color="D4C9B8" w:sz="1"/>
              <w:right w:val="single" w:color="D4C9B8" w:sz="1"/>
            </w:tcBorders>
            <w:shd w:fill="c8612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EMBER</w:t>
            </w:r>
          </w:p>
          <w:p>
            <w:pPr>
              <w:spacing w:after="20" w:before="0"/>
              <w:jc w:val="left"/>
            </w:pPr>
            <w:r>
              <w:rPr>
                <w:rFonts w:ascii="Courier New" w:cs="Courier New" w:eastAsia="Courier New" w:hAnsi="Courier New"/>
                <w:color w:val="6b6355"/>
                <w:sz w:val="18"/>
                <w:szCs w:val="18"/>
              </w:rPr>
              <w:t xml:space="preserve">#c8612a</w:t>
            </w:r>
          </w:p>
          <w:p>
            <w:pPr>
              <w:spacing w:after="40" w:before="0"/>
              <w:jc w:val="left"/>
            </w:pPr>
            <w:r>
              <w:rPr>
                <w:rFonts w:ascii="Arial" w:cs="Arial" w:eastAsia="Arial" w:hAnsi="Arial"/>
                <w:i/>
                <w:iCs/>
                <w:color w:val="6b6355"/>
                <w:sz w:val="18"/>
                <w:szCs w:val="18"/>
              </w:rPr>
              <w:t xml:space="preserve">Primary CTA, links, active states, left-bar accents</w:t>
            </w:r>
          </w:p>
        </w:tc>
      </w:tr>
      <w:tr>
        <w:tc>
          <w:tcPr>
            <w:tcW w:type="dxa" w:w="900"/>
            <w:tcBorders>
              <w:top w:val="single" w:color="D4C9B8" w:sz="1"/>
              <w:left w:val="single" w:color="D4C9B8" w:sz="1"/>
              <w:bottom w:val="single" w:color="D4C9B8" w:sz="1"/>
              <w:right w:val="single" w:color="D4C9B8" w:sz="1"/>
            </w:tcBorders>
            <w:shd w:fill="4a2410"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EMBER DIM</w:t>
            </w:r>
          </w:p>
          <w:p>
            <w:pPr>
              <w:spacing w:after="20" w:before="0"/>
              <w:jc w:val="left"/>
            </w:pPr>
            <w:r>
              <w:rPr>
                <w:rFonts w:ascii="Courier New" w:cs="Courier New" w:eastAsia="Courier New" w:hAnsi="Courier New"/>
                <w:color w:val="6b6355"/>
                <w:sz w:val="18"/>
                <w:szCs w:val="18"/>
              </w:rPr>
              <w:t xml:space="preserve">#4a2410</w:t>
            </w:r>
          </w:p>
          <w:p>
            <w:pPr>
              <w:spacing w:after="40" w:before="0"/>
              <w:jc w:val="left"/>
            </w:pPr>
            <w:r>
              <w:rPr>
                <w:rFonts w:ascii="Arial" w:cs="Arial" w:eastAsia="Arial" w:hAnsi="Arial"/>
                <w:i/>
                <w:iCs/>
                <w:color w:val="6b6355"/>
                <w:sz w:val="18"/>
                <w:szCs w:val="18"/>
              </w:rPr>
              <w:t xml:space="preserve">Hover backgrounds for ember elements</w:t>
            </w:r>
          </w:p>
        </w:tc>
      </w:tr>
      <w:tr>
        <w:tc>
          <w:tcPr>
            <w:tcW w:type="dxa" w:w="900"/>
            <w:tcBorders>
              <w:top w:val="single" w:color="D4C9B8" w:sz="1"/>
              <w:left w:val="single" w:color="D4C9B8" w:sz="1"/>
              <w:bottom w:val="single" w:color="D4C9B8" w:sz="1"/>
              <w:right w:val="single" w:color="D4C9B8" w:sz="1"/>
            </w:tcBorders>
            <w:shd w:fill="a8873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GOLD</w:t>
            </w:r>
          </w:p>
          <w:p>
            <w:pPr>
              <w:spacing w:after="20" w:before="0"/>
              <w:jc w:val="left"/>
            </w:pPr>
            <w:r>
              <w:rPr>
                <w:rFonts w:ascii="Courier New" w:cs="Courier New" w:eastAsia="Courier New" w:hAnsi="Courier New"/>
                <w:color w:val="6b6355"/>
                <w:sz w:val="18"/>
                <w:szCs w:val="18"/>
              </w:rPr>
              <w:t xml:space="preserve">#a8873a</w:t>
            </w:r>
          </w:p>
          <w:p>
            <w:pPr>
              <w:spacing w:after="40" w:before="0"/>
              <w:jc w:val="left"/>
            </w:pPr>
            <w:r>
              <w:rPr>
                <w:rFonts w:ascii="Arial" w:cs="Arial" w:eastAsia="Arial" w:hAnsi="Arial"/>
                <w:i/>
                <w:iCs/>
                <w:color w:val="6b6355"/>
                <w:sz w:val="18"/>
                <w:szCs w:val="18"/>
              </w:rPr>
              <w:t xml:space="preserve">INTITECH wordmark, logo text, special callouts</w:t>
            </w:r>
          </w:p>
        </w:tc>
      </w:tr>
      <w:tr>
        <w:tc>
          <w:tcPr>
            <w:tcW w:type="dxa" w:w="900"/>
            <w:tcBorders>
              <w:top w:val="single" w:color="D4C9B8" w:sz="1"/>
              <w:left w:val="single" w:color="D4C9B8" w:sz="1"/>
              <w:bottom w:val="single" w:color="D4C9B8" w:sz="1"/>
              <w:right w:val="single" w:color="D4C9B8" w:sz="1"/>
            </w:tcBorders>
            <w:shd w:fill="8a7a2e"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DRY GRASS</w:t>
            </w:r>
          </w:p>
          <w:p>
            <w:pPr>
              <w:spacing w:after="20" w:before="0"/>
              <w:jc w:val="left"/>
            </w:pPr>
            <w:r>
              <w:rPr>
                <w:rFonts w:ascii="Courier New" w:cs="Courier New" w:eastAsia="Courier New" w:hAnsi="Courier New"/>
                <w:color w:val="6b6355"/>
                <w:sz w:val="18"/>
                <w:szCs w:val="18"/>
              </w:rPr>
              <w:t xml:space="preserve">#8a7a2e</w:t>
            </w:r>
          </w:p>
          <w:p>
            <w:pPr>
              <w:spacing w:after="40" w:before="0"/>
              <w:jc w:val="left"/>
            </w:pPr>
            <w:r>
              <w:rPr>
                <w:rFonts w:ascii="Arial" w:cs="Arial" w:eastAsia="Arial" w:hAnsi="Arial"/>
                <w:i/>
                <w:iCs/>
                <w:color w:val="6b6355"/>
                <w:sz w:val="18"/>
                <w:szCs w:val="18"/>
              </w:rPr>
              <w:t xml:space="preserve">Bridge color — heat meets growth. Nigerian harmattan energy.</w:t>
            </w:r>
          </w:p>
        </w:tc>
      </w:tr>
    </w:tbl>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Growth — The Agro Layer</w:t>
      </w:r>
    </w:p>
    <w:p>
      <w:pPr>
        <w:spacing w:after="120" w:before="120"/>
        <w:jc w:val="left"/>
      </w:pPr>
      <w:r>
        <w:rPr>
          <w:rFonts w:ascii="Arial" w:cs="Arial" w:eastAsia="Arial" w:hAnsi="Arial"/>
          <w:color w:val="000000"/>
          <w:sz w:val="22"/>
          <w:szCs w:val="22"/>
        </w:rPr>
        <w:t xml:space="preserve">This is what makes the palette distinctly Intitech. A full green ramp that never feels like a tech startup green. Darker, more organic. Rooted in the AgTech direction, Wageningen ambition, and biosensor work.</w:t>
      </w:r>
    </w:p>
    <w:p>
      <w:pPr>
        <w:spacing w:after="0" w:before="60"/>
      </w:pPr>
      <w:r>
        <w:t xml:space="preserve"/>
      </w:r>
    </w:p>
    <w:p>
      <w:pPr>
        <w:spacing w:after="120" w:before="120"/>
        <w:jc w:val="left"/>
      </w:pPr>
      <w:r>
        <w:rPr>
          <w:rFonts w:ascii="Arial" w:cs="Arial" w:eastAsia="Arial" w:hAnsi="Arial"/>
          <w:b/>
          <w:bCs/>
          <w:color w:val="000000"/>
          <w:sz w:val="22"/>
          <w:szCs w:val="22"/>
        </w:rPr>
        <w:t xml:space="preserve">Rule: Growth greens appear ONLY for live system states — online indicators, API health, success responses. This makes them feel earned when they appear. Like something alive in an ancient system.</w:t>
      </w:r>
    </w:p>
    <w:p>
      <w:pPr>
        <w:spacing w:after="0" w:before="80"/>
      </w:pPr>
      <w: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tblGrid>
      <w:tr>
        <w:tc>
          <w:tcPr>
            <w:tcW w:type="dxa" w:w="900"/>
            <w:tcBorders>
              <w:top w:val="single" w:color="D4C9B8" w:sz="1"/>
              <w:left w:val="single" w:color="D4C9B8" w:sz="1"/>
              <w:bottom w:val="single" w:color="D4C9B8" w:sz="1"/>
              <w:right w:val="single" w:color="D4C9B8" w:sz="1"/>
            </w:tcBorders>
            <w:shd w:fill="1a2e1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DEEP ROOT</w:t>
            </w:r>
          </w:p>
          <w:p>
            <w:pPr>
              <w:spacing w:after="20" w:before="0"/>
              <w:jc w:val="left"/>
            </w:pPr>
            <w:r>
              <w:rPr>
                <w:rFonts w:ascii="Courier New" w:cs="Courier New" w:eastAsia="Courier New" w:hAnsi="Courier New"/>
                <w:color w:val="6b6355"/>
                <w:sz w:val="18"/>
                <w:szCs w:val="18"/>
              </w:rPr>
              <w:t xml:space="preserve">#1a2e1a</w:t>
            </w:r>
          </w:p>
          <w:p>
            <w:pPr>
              <w:spacing w:after="40" w:before="0"/>
              <w:jc w:val="left"/>
            </w:pPr>
            <w:r>
              <w:rPr>
                <w:rFonts w:ascii="Arial" w:cs="Arial" w:eastAsia="Arial" w:hAnsi="Arial"/>
                <w:i/>
                <w:iCs/>
                <w:color w:val="6b6355"/>
                <w:sz w:val="18"/>
                <w:szCs w:val="18"/>
              </w:rPr>
              <w:t xml:space="preserve">Growth section backgrounds — dark, underground</w:t>
            </w:r>
          </w:p>
        </w:tc>
      </w:tr>
      <w:tr>
        <w:tc>
          <w:tcPr>
            <w:tcW w:type="dxa" w:w="900"/>
            <w:tcBorders>
              <w:top w:val="single" w:color="D4C9B8" w:sz="1"/>
              <w:left w:val="single" w:color="D4C9B8" w:sz="1"/>
              <w:bottom w:val="single" w:color="D4C9B8" w:sz="1"/>
              <w:right w:val="single" w:color="D4C9B8" w:sz="1"/>
            </w:tcBorders>
            <w:shd w:fill="3d5c35"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MOSS</w:t>
            </w:r>
          </w:p>
          <w:p>
            <w:pPr>
              <w:spacing w:after="20" w:before="0"/>
              <w:jc w:val="left"/>
            </w:pPr>
            <w:r>
              <w:rPr>
                <w:rFonts w:ascii="Courier New" w:cs="Courier New" w:eastAsia="Courier New" w:hAnsi="Courier New"/>
                <w:color w:val="6b6355"/>
                <w:sz w:val="18"/>
                <w:szCs w:val="18"/>
              </w:rPr>
              <w:t xml:space="preserve">#3d5c35</w:t>
            </w:r>
          </w:p>
          <w:p>
            <w:pPr>
              <w:spacing w:after="40" w:before="0"/>
              <w:jc w:val="left"/>
            </w:pPr>
            <w:r>
              <w:rPr>
                <w:rFonts w:ascii="Arial" w:cs="Arial" w:eastAsia="Arial" w:hAnsi="Arial"/>
                <w:i/>
                <w:iCs/>
                <w:color w:val="6b6355"/>
                <w:sz w:val="18"/>
                <w:szCs w:val="18"/>
              </w:rPr>
              <w:t xml:space="preserve">Success states, confirmed actions</w:t>
            </w:r>
          </w:p>
        </w:tc>
      </w:tr>
      <w:tr>
        <w:tc>
          <w:tcPr>
            <w:tcW w:type="dxa" w:w="900"/>
            <w:tcBorders>
              <w:top w:val="single" w:color="D4C9B8" w:sz="1"/>
              <w:left w:val="single" w:color="D4C9B8" w:sz="1"/>
              <w:bottom w:val="single" w:color="D4C9B8" w:sz="1"/>
              <w:right w:val="single" w:color="D4C9B8" w:sz="1"/>
            </w:tcBorders>
            <w:shd w:fill="5a8a48"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CANOPY</w:t>
            </w:r>
          </w:p>
          <w:p>
            <w:pPr>
              <w:spacing w:after="20" w:before="0"/>
              <w:jc w:val="left"/>
            </w:pPr>
            <w:r>
              <w:rPr>
                <w:rFonts w:ascii="Courier New" w:cs="Courier New" w:eastAsia="Courier New" w:hAnsi="Courier New"/>
                <w:color w:val="6b6355"/>
                <w:sz w:val="18"/>
                <w:szCs w:val="18"/>
              </w:rPr>
              <w:t xml:space="preserve">#5a8a48</w:t>
            </w:r>
          </w:p>
          <w:p>
            <w:pPr>
              <w:spacing w:after="40" w:before="0"/>
              <w:jc w:val="left"/>
            </w:pPr>
            <w:r>
              <w:rPr>
                <w:rFonts w:ascii="Arial" w:cs="Arial" w:eastAsia="Arial" w:hAnsi="Arial"/>
                <w:i/>
                <w:iCs/>
                <w:color w:val="6b6355"/>
                <w:sz w:val="18"/>
                <w:szCs w:val="18"/>
              </w:rPr>
              <w:t xml:space="preserve">Live / online indicators — replaces generic green</w:t>
            </w:r>
          </w:p>
        </w:tc>
      </w:tr>
      <w:tr>
        <w:tc>
          <w:tcPr>
            <w:tcW w:type="dxa" w:w="900"/>
            <w:tcBorders>
              <w:top w:val="single" w:color="D4C9B8" w:sz="1"/>
              <w:left w:val="single" w:color="D4C9B8" w:sz="1"/>
              <w:bottom w:val="single" w:color="D4C9B8" w:sz="1"/>
              <w:right w:val="single" w:color="D4C9B8" w:sz="1"/>
            </w:tcBorders>
            <w:shd w:fill="8ab87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SPROUT</w:t>
            </w:r>
          </w:p>
          <w:p>
            <w:pPr>
              <w:spacing w:after="20" w:before="0"/>
              <w:jc w:val="left"/>
            </w:pPr>
            <w:r>
              <w:rPr>
                <w:rFonts w:ascii="Courier New" w:cs="Courier New" w:eastAsia="Courier New" w:hAnsi="Courier New"/>
                <w:color w:val="6b6355"/>
                <w:sz w:val="18"/>
                <w:szCs w:val="18"/>
              </w:rPr>
              <w:t xml:space="preserve">#8ab87a</w:t>
            </w:r>
          </w:p>
          <w:p>
            <w:pPr>
              <w:spacing w:after="40" w:before="0"/>
              <w:jc w:val="left"/>
            </w:pPr>
            <w:r>
              <w:rPr>
                <w:rFonts w:ascii="Arial" w:cs="Arial" w:eastAsia="Arial" w:hAnsi="Arial"/>
                <w:i/>
                <w:iCs/>
                <w:color w:val="6b6355"/>
                <w:sz w:val="18"/>
                <w:szCs w:val="18"/>
              </w:rPr>
              <w:t xml:space="preserve">Highlighted metrics, positive data</w:t>
            </w:r>
          </w:p>
        </w:tc>
      </w:tr>
      <w:tr>
        <w:tc>
          <w:tcPr>
            <w:tcW w:type="dxa" w:w="900"/>
            <w:tcBorders>
              <w:top w:val="single" w:color="D4C9B8" w:sz="1"/>
              <w:left w:val="single" w:color="D4C9B8" w:sz="1"/>
              <w:bottom w:val="single" w:color="D4C9B8" w:sz="1"/>
              <w:right w:val="single" w:color="D4C9B8" w:sz="1"/>
            </w:tcBorders>
            <w:shd w:fill="c2ddb8"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4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20" w:before="40"/>
              <w:jc w:val="left"/>
            </w:pPr>
            <w:r>
              <w:rPr>
                <w:rFonts w:ascii="Arial" w:cs="Arial" w:eastAsia="Arial" w:hAnsi="Arial"/>
                <w:b/>
                <w:bCs/>
                <w:color w:val="000000"/>
                <w:sz w:val="20"/>
                <w:szCs w:val="20"/>
              </w:rPr>
              <w:t xml:space="preserve">DEW</w:t>
            </w:r>
          </w:p>
          <w:p>
            <w:pPr>
              <w:spacing w:after="20" w:before="0"/>
              <w:jc w:val="left"/>
            </w:pPr>
            <w:r>
              <w:rPr>
                <w:rFonts w:ascii="Courier New" w:cs="Courier New" w:eastAsia="Courier New" w:hAnsi="Courier New"/>
                <w:color w:val="6b6355"/>
                <w:sz w:val="18"/>
                <w:szCs w:val="18"/>
              </w:rPr>
              <w:t xml:space="preserve">#c2ddb8</w:t>
            </w:r>
          </w:p>
          <w:p>
            <w:pPr>
              <w:spacing w:after="40" w:before="0"/>
              <w:jc w:val="left"/>
            </w:pPr>
            <w:r>
              <w:rPr>
                <w:rFonts w:ascii="Arial" w:cs="Arial" w:eastAsia="Arial" w:hAnsi="Arial"/>
                <w:i/>
                <w:iCs/>
                <w:color w:val="6b6355"/>
                <w:sz w:val="18"/>
                <w:szCs w:val="18"/>
              </w:rPr>
              <w:t xml:space="preserve">Text on green backgrounds</w:t>
            </w:r>
          </w:p>
        </w:tc>
      </w:tr>
    </w:tbl>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Color Relationships</w:t>
      </w:r>
    </w:p>
    <w:p>
      <w:pPr>
        <w:spacing w:after="120" w:before="120"/>
        <w:jc w:val="left"/>
      </w:pPr>
      <w:r>
        <w:rPr>
          <w:rFonts w:ascii="Arial" w:cs="Arial" w:eastAsia="Arial" w:hAnsi="Arial"/>
          <w:color w:val="000000"/>
          <w:sz w:val="22"/>
          <w:szCs w:val="22"/>
        </w:rPr>
        <w:t xml:space="preserve">These are the deliberate pairings that carry meaning: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
        <w:gridCol w:w="720"/>
        <w:gridCol w:w="3720"/>
        <w:gridCol w:w="3000"/>
      </w:tblGrid>
      <w:tr>
        <w:tc>
          <w:tcPr>
            <w:tcW w:type="dxa" w:w="720"/>
            <w:tcBorders>
              <w:top w:val="single" w:color="D4C9B8" w:sz="1"/>
              <w:left w:val="single" w:color="D4C9B8" w:sz="1"/>
              <w:bottom w:val="single" w:color="D4C9B8" w:sz="1"/>
              <w:right w:val="single" w:color="D4C9B8" w:sz="1"/>
            </w:tcBorders>
            <w:shd w:fill="080705" w:val="clear"/>
            <w:tcMar>
              <w:top w:type="dxa" w:w="100"/>
              <w:left w:type="dxa" w:w="140"/>
              <w:bottom w:type="dxa" w:w="100"/>
              <w:right w:type="dxa" w:w="140"/>
            </w:tcMar>
          </w:tcPr>
          <w:p>
            <w:pPr>
              <w:spacing w:after="120" w:before="120"/>
              <w:jc w:val="left"/>
            </w:pPr>
            <w:r>
              <w:rPr>
                <w:rFonts w:ascii="Arial" w:cs="Arial" w:eastAsia="Arial" w:hAnsi="Arial"/>
                <w:b/>
                <w:bCs/>
                <w:color w:val="000000"/>
                <w:sz w:val="18"/>
                <w:szCs w:val="18"/>
              </w:rPr>
              <w:t xml:space="preserve">VOID</w:t>
            </w:r>
          </w:p>
        </w:tc>
        <w:tc>
          <w:tcPr>
            <w:tcW w:type="dxa" w:w="200"/>
            <w:tcBorders>
              <w:top w:val="none"/>
              <w:left w:val="none"/>
              <w:bottom w:val="none"/>
              <w:right w:val="none"/>
            </w:tcBorders>
            <w:tcMar>
              <w:top w:type="dxa" w:w="100"/>
              <w:left w:type="dxa" w:w="140"/>
              <w:bottom w:type="dxa" w:w="100"/>
              <w:right w:type="dxa" w:w="140"/>
            </w:tcMar>
          </w:tcPr>
          <w:p>
            <w:pPr>
              <w:spacing w:after="120" w:before="120"/>
              <w:jc w:val="center"/>
            </w:pPr>
            <w:r>
              <w:rPr>
                <w:rFonts w:ascii="Arial" w:cs="Arial" w:eastAsia="Arial" w:hAnsi="Arial"/>
                <w:color w:val="6b6355"/>
                <w:sz w:val="18"/>
                <w:szCs w:val="18"/>
              </w:rPr>
              <w:t xml:space="preserve">+</w:t>
            </w:r>
          </w:p>
        </w:tc>
        <w:tc>
          <w:tcPr>
            <w:tcW w:type="dxa" w:w="720"/>
            <w:tcBorders>
              <w:top w:val="single" w:color="D4C9B8" w:sz="1"/>
              <w:left w:val="single" w:color="D4C9B8" w:sz="1"/>
              <w:bottom w:val="single" w:color="D4C9B8" w:sz="1"/>
              <w:right w:val="single" w:color="D4C9B8" w:sz="1"/>
            </w:tcBorders>
            <w:shd w:fill="c8612a" w:val="clear"/>
            <w:tcMar>
              <w:top w:type="dxa" w:w="100"/>
              <w:left w:type="dxa" w:w="140"/>
              <w:bottom w:type="dxa" w:w="100"/>
              <w:right w:type="dxa" w:w="140"/>
            </w:tcMar>
          </w:tcPr>
          <w:p>
            <w:pPr>
              <w:spacing w:after="120" w:before="120"/>
              <w:jc w:val="left"/>
            </w:pPr>
            <w:r>
              <w:rPr>
                <w:rFonts w:ascii="Arial" w:cs="Arial" w:eastAsia="Arial" w:hAnsi="Arial"/>
                <w:b/>
                <w:bCs/>
                <w:color w:val="000000"/>
                <w:sz w:val="18"/>
                <w:szCs w:val="18"/>
              </w:rPr>
              <w:t xml:space="preserve">EMBER</w:t>
            </w:r>
          </w:p>
        </w:tc>
        <w:tc>
          <w:tcPr>
            <w:tcW w:type="dxa" w:w="372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i/>
                <w:iCs/>
                <w:color w:val="000000"/>
                <w:sz w:val="20"/>
                <w:szCs w:val="20"/>
              </w:rPr>
              <w:t xml:space="preserve">Fire in the dark. Attention without noise.</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6b6355"/>
                <w:sz w:val="18"/>
                <w:szCs w:val="18"/>
              </w:rPr>
              <w:t xml:space="preserve">Primary interaction — all CTAs</w:t>
            </w:r>
          </w:p>
        </w:tc>
      </w:tr>
      <w:tr>
        <w:tc>
          <w:tcPr>
            <w:tcW w:type="dxa" w:w="720"/>
            <w:tcBorders>
              <w:top w:val="single" w:color="D4C9B8" w:sz="1"/>
              <w:left w:val="single" w:color="D4C9B8" w:sz="1"/>
              <w:bottom w:val="single" w:color="D4C9B8" w:sz="1"/>
              <w:right w:val="single" w:color="D4C9B8" w:sz="1"/>
            </w:tcBorders>
            <w:shd w:fill="c9b99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200"/>
            <w:tcBorders>
              <w:top w:val="none"/>
              <w:left w:val="none"/>
              <w:bottom w:val="none"/>
              <w:right w:val="none"/>
            </w:tcBorders>
            <w:tcMar>
              <w:top w:type="dxa" w:w="100"/>
              <w:left w:type="dxa" w:w="140"/>
              <w:bottom w:type="dxa" w:w="100"/>
              <w:right w:type="dxa" w:w="140"/>
            </w:tcMar>
          </w:tcPr>
          <w:p>
            <w:pPr>
              <w:spacing w:after="120" w:before="120"/>
              <w:jc w:val="center"/>
            </w:pPr>
            <w:r>
              <w:rPr>
                <w:rFonts w:ascii="Arial" w:cs="Arial" w:eastAsia="Arial" w:hAnsi="Arial"/>
                <w:color w:val="6b6355"/>
                <w:sz w:val="18"/>
                <w:szCs w:val="18"/>
              </w:rPr>
              <w:t xml:space="preserve">+</w:t>
            </w:r>
          </w:p>
        </w:tc>
        <w:tc>
          <w:tcPr>
            <w:tcW w:type="dxa" w:w="720"/>
            <w:tcBorders>
              <w:top w:val="single" w:color="D4C9B8" w:sz="1"/>
              <w:left w:val="single" w:color="D4C9B8" w:sz="1"/>
              <w:bottom w:val="single" w:color="D4C9B8" w:sz="1"/>
              <w:right w:val="single" w:color="D4C9B8" w:sz="1"/>
            </w:tcBorders>
            <w:shd w:fill="1a2e1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372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i/>
                <w:iCs/>
                <w:color w:val="000000"/>
                <w:sz w:val="20"/>
                <w:szCs w:val="20"/>
              </w:rPr>
              <w:t xml:space="preserve">Ancient meets living. Text on grown things.</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6b6355"/>
                <w:sz w:val="18"/>
                <w:szCs w:val="18"/>
              </w:rPr>
              <w:t xml:space="preserve">Agro + content layer</w:t>
            </w:r>
          </w:p>
        </w:tc>
      </w:tr>
      <w:tr>
        <w:tc>
          <w:tcPr>
            <w:tcW w:type="dxa" w:w="720"/>
            <w:tcBorders>
              <w:top w:val="single" w:color="D4C9B8" w:sz="1"/>
              <w:left w:val="single" w:color="D4C9B8" w:sz="1"/>
              <w:bottom w:val="single" w:color="D4C9B8" w:sz="1"/>
              <w:right w:val="single" w:color="D4C9B8" w:sz="1"/>
            </w:tcBorders>
            <w:shd w:fill="a8873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200"/>
            <w:tcBorders>
              <w:top w:val="none"/>
              <w:left w:val="none"/>
              <w:bottom w:val="none"/>
              <w:right w:val="none"/>
            </w:tcBorders>
            <w:tcMar>
              <w:top w:type="dxa" w:w="100"/>
              <w:left w:type="dxa" w:w="140"/>
              <w:bottom w:type="dxa" w:w="100"/>
              <w:right w:type="dxa" w:w="140"/>
            </w:tcMar>
          </w:tcPr>
          <w:p>
            <w:pPr>
              <w:spacing w:after="120" w:before="120"/>
              <w:jc w:val="center"/>
            </w:pPr>
            <w:r>
              <w:rPr>
                <w:rFonts w:ascii="Arial" w:cs="Arial" w:eastAsia="Arial" w:hAnsi="Arial"/>
                <w:color w:val="6b6355"/>
                <w:sz w:val="18"/>
                <w:szCs w:val="18"/>
              </w:rPr>
              <w:t xml:space="preserve">+</w:t>
            </w:r>
          </w:p>
        </w:tc>
        <w:tc>
          <w:tcPr>
            <w:tcW w:type="dxa" w:w="720"/>
            <w:tcBorders>
              <w:top w:val="single" w:color="D4C9B8" w:sz="1"/>
              <w:left w:val="single" w:color="D4C9B8" w:sz="1"/>
              <w:bottom w:val="single" w:color="D4C9B8" w:sz="1"/>
              <w:right w:val="single" w:color="D4C9B8" w:sz="1"/>
            </w:tcBorders>
            <w:shd w:fill="5a8a48"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372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i/>
                <w:iCs/>
                <w:color w:val="000000"/>
                <w:sz w:val="20"/>
                <w:szCs w:val="20"/>
              </w:rPr>
              <w:t xml:space="preserve">Harvest. The reward of what was planted.</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6b6355"/>
                <w:sz w:val="18"/>
                <w:szCs w:val="18"/>
              </w:rPr>
              <w:t xml:space="preserve">Live system indicators</w:t>
            </w:r>
          </w:p>
        </w:tc>
      </w:tr>
      <w:tr>
        <w:tc>
          <w:tcPr>
            <w:tcW w:type="dxa" w:w="720"/>
            <w:tcBorders>
              <w:top w:val="single" w:color="D4C9B8" w:sz="1"/>
              <w:left w:val="single" w:color="D4C9B8" w:sz="1"/>
              <w:bottom w:val="single" w:color="D4C9B8" w:sz="1"/>
              <w:right w:val="single" w:color="D4C9B8" w:sz="1"/>
            </w:tcBorders>
            <w:shd w:fill="4a2410"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200"/>
            <w:tcBorders>
              <w:top w:val="none"/>
              <w:left w:val="none"/>
              <w:bottom w:val="none"/>
              <w:right w:val="none"/>
            </w:tcBorders>
            <w:tcMar>
              <w:top w:type="dxa" w:w="100"/>
              <w:left w:type="dxa" w:w="140"/>
              <w:bottom w:type="dxa" w:w="100"/>
              <w:right w:type="dxa" w:w="140"/>
            </w:tcMar>
          </w:tcPr>
          <w:p>
            <w:pPr>
              <w:spacing w:after="120" w:before="120"/>
              <w:jc w:val="center"/>
            </w:pPr>
            <w:r>
              <w:rPr>
                <w:rFonts w:ascii="Arial" w:cs="Arial" w:eastAsia="Arial" w:hAnsi="Arial"/>
                <w:color w:val="6b6355"/>
                <w:sz w:val="18"/>
                <w:szCs w:val="18"/>
              </w:rPr>
              <w:t xml:space="preserve">+</w:t>
            </w:r>
          </w:p>
        </w:tc>
        <w:tc>
          <w:tcPr>
            <w:tcW w:type="dxa" w:w="720"/>
            <w:tcBorders>
              <w:top w:val="single" w:color="D4C9B8" w:sz="1"/>
              <w:left w:val="single" w:color="D4C9B8" w:sz="1"/>
              <w:bottom w:val="single" w:color="D4C9B8" w:sz="1"/>
              <w:right w:val="single" w:color="D4C9B8" w:sz="1"/>
            </w:tcBorders>
            <w:shd w:fill="8ab87a" w:val="clear"/>
            <w:tcMar>
              <w:top w:type="dxa" w:w="100"/>
              <w:left w:type="dxa" w:w="140"/>
              <w:bottom w:type="dxa" w:w="100"/>
              <w:right w:type="dxa" w:w="140"/>
            </w:tcMar>
          </w:tcPr>
          <w:p>
            <w:pPr>
              <w:spacing w:after="120" w:before="120"/>
              <w:jc w:val="left"/>
            </w:pPr>
            <w:r>
              <w:rPr>
                <w:rFonts w:ascii="Arial" w:cs="Arial" w:eastAsia="Arial" w:hAnsi="Arial"/>
                <w:color w:val="000000"/>
                <w:sz w:val="18"/>
                <w:szCs w:val="18"/>
              </w:rPr>
              <w:t xml:space="preserve"/>
            </w:r>
          </w:p>
        </w:tc>
        <w:tc>
          <w:tcPr>
            <w:tcW w:type="dxa" w:w="372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i/>
                <w:iCs/>
                <w:color w:val="000000"/>
                <w:sz w:val="20"/>
                <w:szCs w:val="20"/>
              </w:rPr>
              <w:t xml:space="preserve">Something new growing from something old.</w:t>
            </w:r>
          </w:p>
        </w:tc>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6b6355"/>
                <w:sz w:val="18"/>
                <w:szCs w:val="18"/>
              </w:rPr>
              <w:t xml:space="preserve">Tags, badges, status pills</w:t>
            </w:r>
          </w:p>
        </w:tc>
      </w:tr>
    </w:tbl>
    <w:p>
      <w:r>
        <w:br/>
        <w:t xml:space="preserve"/>
      </w:r>
    </w:p>
    <w:p>
      <w:pPr>
        <w:pStyle w:val="Heading1"/>
        <w:spacing w:after="160" w:before="400"/>
      </w:pPr>
      <w:r>
        <w:rPr>
          <w:rFonts w:ascii="Georgia" w:cs="Georgia" w:eastAsia="Georgia" w:hAnsi="Georgia"/>
          <w:b/>
          <w:bCs/>
          <w:color w:val="080705"/>
          <w:sz w:val="36"/>
          <w:szCs w:val="36"/>
        </w:rPr>
        <w:t xml:space="preserve">04 · DIGITAL ECOSYSTEM</w:t>
      </w:r>
    </w:p>
    <w:p>
      <w:pPr>
        <w:pStyle w:val="Heading2"/>
        <w:pBdr>
          <w:bottom w:val="single" w:color="c8612a" w:sz="4" w:space="4"/>
        </w:pBdr>
        <w:spacing w:after="120" w:before="320"/>
      </w:pPr>
      <w:r>
        <w:rPr>
          <w:rFonts w:ascii="Georgia" w:cs="Georgia" w:eastAsia="Georgia" w:hAnsi="Georgia"/>
          <w:b/>
          <w:bCs/>
          <w:color w:val="080705"/>
          <w:sz w:val="28"/>
          <w:szCs w:val="28"/>
        </w:rPr>
        <w:t xml:space="preserve">URL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URL</w:t>
            </w:r>
          </w:p>
        </w:tc>
        <w:tc>
          <w:tcPr>
            <w:tcW w:type="dxa" w:w="20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Purpose</w:t>
            </w:r>
          </w:p>
        </w:tc>
        <w:tc>
          <w:tcPr>
            <w:tcW w:type="dxa" w:w="436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Stack</w:t>
            </w:r>
          </w:p>
        </w:tc>
      </w:tr>
      <w:tr>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intitech.dev</w:t>
            </w:r>
          </w:p>
        </w:tc>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Portfolio / Brand home</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React + Vite → GitHub Pages</w:t>
            </w:r>
          </w:p>
        </w:tc>
      </w:tr>
      <w:tr>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intitech.dev/app</w:t>
            </w:r>
          </w:p>
        </w:tc>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Project landing pages</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Static pages within portfolio repo</w:t>
            </w:r>
          </w:p>
        </w:tc>
      </w:tr>
      <w:tr>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blogs.intitech.dev</w:t>
            </w:r>
          </w:p>
        </w:tc>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Technical blog</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Statiq.Web (C#) → GitHub Pages + Actions</w:t>
            </w:r>
          </w:p>
        </w:tc>
      </w:tr>
      <w:tr>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api.intitech.dev</w:t>
            </w:r>
          </w:p>
        </w:tc>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Portfolio API (live backend flex)</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ASP.NET Core Minimal API → Railway</w:t>
            </w:r>
          </w:p>
        </w:tc>
      </w:tr>
      <w:tr>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i.intitech.dev</w:t>
            </w:r>
          </w:p>
        </w:tc>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URL shortener</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ASP.NET Core Minimal API + SQLite → Railway</w:t>
            </w:r>
          </w:p>
        </w:tc>
      </w:tr>
      <w:tr>
        <w:tc>
          <w:tcPr>
            <w:tcW w:type="dxa" w:w="3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zikfash.intitech.dev</w:t>
            </w:r>
          </w:p>
        </w:tc>
        <w:tc>
          <w:tcPr>
            <w:tcW w:type="dxa" w:w="20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Live products with own identity</w:t>
            </w:r>
          </w:p>
        </w:tc>
        <w:tc>
          <w:tcPr>
            <w:tcW w:type="dxa" w:w="43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Per-project deployment → Vercel/Railway</w:t>
            </w:r>
          </w:p>
        </w:tc>
      </w:tr>
    </w:tbl>
    <w:p>
      <w:pPr>
        <w:spacing w:after="0" w:before="120"/>
      </w:pPr>
      <w:r>
        <w:t xml:space="preserve"/>
      </w:r>
    </w:p>
    <w:p>
      <w:pPr>
        <w:spacing w:after="120" w:before="120"/>
        <w:jc w:val="left"/>
      </w:pPr>
      <w:r>
        <w:rPr>
          <w:rFonts w:ascii="Arial" w:cs="Arial" w:eastAsia="Arial" w:hAnsi="Arial"/>
          <w:i/>
          <w:iCs/>
          <w:color w:val="000000"/>
          <w:sz w:val="22"/>
          <w:szCs w:val="22"/>
        </w:rPr>
        <w:t xml:space="preserve">Rule: if it's a product with its own identity → subdomain. If it's a landing page or showcase → intitech.dev/app/project-name. The URL itself communicates the maturity of the thing.</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Portfolio Site — intitech.dev</w:t>
      </w:r>
    </w:p>
    <w:p>
      <w:pPr>
        <w:spacing w:after="120" w:before="120"/>
        <w:jc w:val="left"/>
      </w:pPr>
      <w:r>
        <w:rPr>
          <w:rFonts w:ascii="Arial" w:cs="Arial" w:eastAsia="Arial" w:hAnsi="Arial"/>
          <w:b/>
          <w:bCs/>
          <w:color w:val="000000"/>
          <w:sz w:val="22"/>
          <w:szCs w:val="22"/>
        </w:rPr>
        <w:t xml:space="preserve">Framework: React + Vite deployed to GitHub Pages. The portfolio is not a brochure. It is a live system.</w:t>
      </w:r>
    </w:p>
    <w:p>
      <w:pPr>
        <w:spacing w:after="0" w:before="80"/>
      </w:pPr>
      <w:r>
        <w:t xml:space="preserve"/>
      </w:r>
    </w:p>
    <w:p>
      <w:pPr>
        <w:spacing w:after="120" w:before="120"/>
        <w:jc w:val="left"/>
      </w:pPr>
      <w:r>
        <w:rPr>
          <w:rFonts w:ascii="Arial" w:cs="Arial" w:eastAsia="Arial" w:hAnsi="Arial"/>
          <w:color w:val="000000"/>
          <w:sz w:val="22"/>
          <w:szCs w:val="22"/>
        </w:rPr>
        <w:t xml:space="preserve">Key sections:</w:t>
      </w:r>
    </w:p>
    <w:p>
      <w:pPr>
        <w:pStyle w:val="ListParagraph"/>
        <w:numPr>
          <w:ilvl w:val="0"/>
          <w:numId w:val="3"/>
        </w:numPr>
        <w:spacing w:after="80" w:before="80"/>
      </w:pPr>
      <w:r>
        <w:rPr>
          <w:rFonts w:ascii="Arial" w:cs="Arial" w:eastAsia="Arial" w:hAnsi="Arial"/>
          <w:sz w:val="22"/>
          <w:szCs w:val="22"/>
        </w:rPr>
        <w:t xml:space="preserve">Hero — INTITECH wordmark + "I build what's needed." + Live System Status panel</w:t>
      </w:r>
    </w:p>
    <w:p>
      <w:pPr>
        <w:pStyle w:val="ListParagraph"/>
        <w:numPr>
          <w:ilvl w:val="0"/>
          <w:numId w:val="3"/>
        </w:numPr>
        <w:spacing w:after="80" w:before="80"/>
      </w:pPr>
      <w:r>
        <w:rPr>
          <w:rFonts w:ascii="Arial" w:cs="Arial" w:eastAsia="Arial" w:hAnsi="Arial"/>
          <w:sz w:val="22"/>
          <w:szCs w:val="22"/>
        </w:rPr>
        <w:t xml:space="preserve">Selected Works — 6 projects in a grid, each with live stack pills and metrics</w:t>
      </w:r>
    </w:p>
    <w:p>
      <w:pPr>
        <w:pStyle w:val="ListParagraph"/>
        <w:numPr>
          <w:ilvl w:val="0"/>
          <w:numId w:val="3"/>
        </w:numPr>
        <w:spacing w:after="80" w:before="80"/>
      </w:pPr>
      <w:r>
        <w:rPr>
          <w:rFonts w:ascii="Arial" w:cs="Arial" w:eastAsia="Arial" w:hAnsi="Arial"/>
          <w:sz w:val="22"/>
          <w:szCs w:val="22"/>
        </w:rPr>
        <w:t xml:space="preserve">Inscribed Disciplines — skills wall styled as stone inscriptions</w:t>
      </w:r>
    </w:p>
    <w:p>
      <w:pPr>
        <w:pStyle w:val="ListParagraph"/>
        <w:numPr>
          <w:ilvl w:val="0"/>
          <w:numId w:val="3"/>
        </w:numPr>
        <w:spacing w:after="80" w:before="80"/>
      </w:pPr>
      <w:r>
        <w:rPr>
          <w:rFonts w:ascii="Arial" w:cs="Arial" w:eastAsia="Arial" w:hAnsi="Arial"/>
          <w:sz w:val="22"/>
          <w:szCs w:val="22"/>
        </w:rPr>
        <w:t xml:space="preserve">About — full name, origin, philosophy, MLSA, AMSA role, availability</w:t>
      </w:r>
    </w:p>
    <w:p>
      <w:pPr>
        <w:pStyle w:val="ListParagraph"/>
        <w:numPr>
          <w:ilvl w:val="0"/>
          <w:numId w:val="3"/>
        </w:numPr>
        <w:spacing w:after="80" w:before="80"/>
      </w:pPr>
      <w:r>
        <w:rPr>
          <w:rFonts w:ascii="Arial" w:cs="Arial" w:eastAsia="Arial" w:hAnsi="Arial"/>
          <w:sz w:val="22"/>
          <w:szCs w:val="22"/>
        </w:rPr>
        <w:t xml:space="preserve">Contact / Footer — GitHub, Twitter, Substack, Email</w:t>
      </w:r>
    </w:p>
    <w:p>
      <w:pPr>
        <w:spacing w:after="0" w:before="80"/>
      </w:pPr>
      <w:r>
        <w:t xml:space="preserve"/>
      </w:r>
    </w:p>
    <w:p>
      <w:pPr>
        <w:spacing w:after="120" w:before="120"/>
        <w:jc w:val="left"/>
      </w:pPr>
      <w:r>
        <w:rPr>
          <w:rFonts w:ascii="Arial" w:cs="Arial" w:eastAsia="Arial" w:hAnsi="Arial"/>
          <w:color w:val="000000"/>
          <w:sz w:val="22"/>
          <w:szCs w:val="22"/>
        </w:rPr>
        <w:t xml:space="preserve">Live backend demonstration — the hero panel shows real API health, response time, request count, uptime. The endpoint tester lets visitors call actual endpoints and see JSON return. The portfolio IS the backend demonstration.</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Portfolio API — api.intitech.dev</w:t>
      </w:r>
    </w:p>
    <w:p>
      <w:pPr>
        <w:spacing w:after="120" w:before="120"/>
        <w:jc w:val="left"/>
      </w:pPr>
      <w:r>
        <w:rPr>
          <w:rFonts w:ascii="Arial" w:cs="Arial" w:eastAsia="Arial" w:hAnsi="Arial"/>
          <w:color w:val="000000"/>
          <w:sz w:val="22"/>
          <w:szCs w:val="22"/>
        </w:rPr>
        <w:t xml:space="preserve">Standalone ASP.NET Core Minimal API. Deployed to Railway. Custom domain: api.intitech.dev.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Method</w:t>
            </w:r>
          </w:p>
        </w:tc>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Endpoint</w:t>
            </w:r>
          </w:p>
        </w:tc>
        <w:tc>
          <w:tcPr>
            <w:tcW w:type="dxa" w:w="576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Description</w:t>
            </w:r>
          </w:p>
        </w:tc>
      </w:tr>
      <w:tr>
        <w:tc>
          <w:tcPr>
            <w:tcW w:type="dxa" w:w="1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5a8a48"/>
                <w:sz w:val="20"/>
                <w:szCs w:val="20"/>
              </w:rPr>
              <w:t xml:space="preserve">GET</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/api/health</w:t>
            </w:r>
          </w:p>
        </w:tc>
        <w:tc>
          <w:tcPr>
            <w:tcW w:type="dxa" w:w="5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Live uptime, response time, timestamp — feeds hero panel</w:t>
            </w:r>
          </w:p>
        </w:tc>
      </w:tr>
      <w:tr>
        <w:tc>
          <w:tcPr>
            <w:tcW w:type="dxa" w:w="1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5a8a48"/>
                <w:sz w:val="20"/>
                <w:szCs w:val="20"/>
              </w:rPr>
              <w:t xml:space="preserve">GET</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/api/projects</w:t>
            </w:r>
          </w:p>
        </w:tc>
        <w:tc>
          <w:tcPr>
            <w:tcW w:type="dxa" w:w="5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Dynamic project data — consumed by portfolio frontend</w:t>
            </w:r>
          </w:p>
        </w:tc>
      </w:tr>
      <w:tr>
        <w:tc>
          <w:tcPr>
            <w:tcW w:type="dxa" w:w="1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5a8a48"/>
                <w:sz w:val="20"/>
                <w:szCs w:val="20"/>
              </w:rPr>
              <w:t xml:space="preserve">GET</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/api/github</w:t>
            </w:r>
          </w:p>
        </w:tc>
        <w:tc>
          <w:tcPr>
            <w:tcW w:type="dxa" w:w="5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Proxies GitHub API — commit activity, contribution streak</w:t>
            </w:r>
          </w:p>
        </w:tc>
      </w:tr>
      <w:tr>
        <w:tc>
          <w:tcPr>
            <w:tcW w:type="dxa" w:w="1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a8873a"/>
                <w:sz w:val="20"/>
                <w:szCs w:val="20"/>
              </w:rPr>
              <w:t xml:space="preserve">POST</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/api/contact</w:t>
            </w:r>
          </w:p>
        </w:tc>
        <w:tc>
          <w:tcPr>
            <w:tcW w:type="dxa" w:w="5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Contact form → DB + email via MailKit</w:t>
            </w:r>
          </w:p>
        </w:tc>
      </w:tr>
    </w:tbl>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URL Shortener — i.intitech.dev</w:t>
      </w:r>
    </w:p>
    <w:p>
      <w:pPr>
        <w:spacing w:after="120" w:before="120"/>
        <w:jc w:val="left"/>
      </w:pPr>
      <w:r>
        <w:rPr>
          <w:rFonts w:ascii="Arial" w:cs="Arial" w:eastAsia="Arial" w:hAnsi="Arial"/>
          <w:color w:val="000000"/>
          <w:sz w:val="22"/>
          <w:szCs w:val="22"/>
        </w:rPr>
        <w:t xml:space="preserve">Migrated from MVC to ASP.NET Core Minimal API. MySQL → SQLite. Every blog post and project gets a branded short link.</w:t>
      </w:r>
    </w:p>
    <w:p>
      <w:pPr>
        <w:spacing w:after="0" w:before="80"/>
      </w:pPr>
      <w:r>
        <w:t xml:space="preserve"/>
      </w:r>
    </w:p>
    <w:p>
      <w:pPr>
        <w:spacing w:after="120" w:before="120"/>
        <w:jc w:val="left"/>
      </w:pPr>
      <w:r>
        <w:rPr>
          <w:rFonts w:ascii="Arial" w:cs="Arial" w:eastAsia="Arial" w:hAnsi="Arial"/>
          <w:color w:val="000000"/>
          <w:sz w:val="22"/>
          <w:szCs w:val="22"/>
        </w:rPr>
        <w:t xml:space="preserve">Example branded links:</w:t>
      </w:r>
    </w:p>
    <w:p>
      <w:pPr>
        <w:pStyle w:val="ListParagraph"/>
        <w:numPr>
          <w:ilvl w:val="0"/>
          <w:numId w:val="2"/>
        </w:numPr>
        <w:spacing w:after="80" w:before="80"/>
      </w:pPr>
      <w:r>
        <w:rPr>
          <w:rFonts w:ascii="Courier New" w:cs="Courier New" w:eastAsia="Courier New" w:hAnsi="Courier New"/>
          <w:sz w:val="20"/>
          <w:szCs w:val="20"/>
        </w:rPr>
        <w:t xml:space="preserve">i.intitech.dev/amsa  →  blogs.intitech.dev/posts/amsa-reporting</w:t>
      </w:r>
    </w:p>
    <w:p>
      <w:pPr>
        <w:pStyle w:val="ListParagraph"/>
        <w:numPr>
          <w:ilvl w:val="0"/>
          <w:numId w:val="2"/>
        </w:numPr>
        <w:spacing w:after="80" w:before="80"/>
      </w:pPr>
      <w:r>
        <w:rPr>
          <w:rFonts w:ascii="Courier New" w:cs="Courier New" w:eastAsia="Courier New" w:hAnsi="Courier New"/>
          <w:sz w:val="20"/>
          <w:szCs w:val="20"/>
        </w:rPr>
        <w:t xml:space="preserve">i.intitech.dev/fin  →  blogs.intitech.dev/posts/finsight-architecture</w:t>
      </w:r>
    </w:p>
    <w:p>
      <w:pPr>
        <w:pStyle w:val="ListParagraph"/>
        <w:numPr>
          <w:ilvl w:val="0"/>
          <w:numId w:val="2"/>
        </w:numPr>
        <w:spacing w:after="80" w:before="80"/>
      </w:pPr>
      <w:r>
        <w:rPr>
          <w:rFonts w:ascii="Courier New" w:cs="Courier New" w:eastAsia="Courier New" w:hAnsi="Courier New"/>
          <w:sz w:val="20"/>
          <w:szCs w:val="20"/>
        </w:rPr>
        <w:t xml:space="preserve">i.intitech.dev/blog  →  blogs.intitech.dev</w:t>
      </w:r>
    </w:p>
    <w:p>
      <w:pPr>
        <w:spacing w:after="0" w:before="80"/>
      </w:pPr>
      <w:r>
        <w:t xml:space="preserve"/>
      </w:r>
    </w:p>
    <w:p>
      <w:pPr>
        <w:spacing w:after="120" w:before="120"/>
        <w:jc w:val="left"/>
      </w:pPr>
      <w:r>
        <w:rPr>
          <w:rFonts w:ascii="Arial" w:cs="Arial" w:eastAsia="Arial" w:hAnsi="Arial"/>
          <w:color w:val="000000"/>
          <w:sz w:val="22"/>
          <w:szCs w:val="22"/>
        </w:rPr>
        <w:t xml:space="preserve">Stats endpoint /api/stats is public — click counts are visible on the portfolio dashboard. That's proof of traffic and a backend demonstration simultaneously.</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Technical Blog — blogs.intitech.dev</w:t>
      </w:r>
    </w:p>
    <w:p>
      <w:pPr>
        <w:spacing w:after="120" w:before="120"/>
        <w:jc w:val="left"/>
      </w:pPr>
      <w:r>
        <w:rPr>
          <w:rFonts w:ascii="Arial" w:cs="Arial" w:eastAsia="Arial" w:hAnsi="Arial"/>
          <w:color w:val="000000"/>
          <w:sz w:val="22"/>
          <w:szCs w:val="22"/>
        </w:rPr>
        <w:t xml:space="preserve">Built with Statiq.Web (C# static site generator). CleanBlog as structural foundation — all visual files overridden with the archaic aesthetic. GitHub Actions builds and deploys on every push to main.</w:t>
      </w:r>
    </w:p>
    <w:p>
      <w:pPr>
        <w:spacing w:after="0" w:before="80"/>
      </w:pPr>
      <w:r>
        <w:t xml:space="preserve"/>
      </w:r>
    </w:p>
    <w:p>
      <w:pPr>
        <w:spacing w:after="120" w:before="120"/>
        <w:jc w:val="left"/>
      </w:pPr>
      <w:r>
        <w:rPr>
          <w:rFonts w:ascii="Arial" w:cs="Arial" w:eastAsia="Arial" w:hAnsi="Arial"/>
          <w:b/>
          <w:bCs/>
          <w:color w:val="000000"/>
          <w:sz w:val="22"/>
          <w:szCs w:val="22"/>
        </w:rPr>
        <w:t xml:space="preserve">Content strategy — posts must be tied to things actually built:</w:t>
      </w:r>
    </w:p>
    <w:p>
      <w:pPr>
        <w:pStyle w:val="ListParagraph"/>
        <w:numPr>
          <w:ilvl w:val="0"/>
          <w:numId w:val="2"/>
        </w:numPr>
        <w:spacing w:after="80" w:before="80"/>
      </w:pPr>
      <w:r>
        <w:rPr>
          <w:rFonts w:ascii="Arial" w:cs="Arial" w:eastAsia="Arial" w:hAnsi="Arial"/>
          <w:i/>
          <w:iCs/>
          <w:sz w:val="22"/>
          <w:szCs w:val="22"/>
        </w:rPr>
        <w:t xml:space="preserve">"How I Built a Multi-Tenant Reporting System for 500+ AMSA Branches"</w:t>
      </w:r>
    </w:p>
    <w:p>
      <w:pPr>
        <w:pStyle w:val="ListParagraph"/>
        <w:numPr>
          <w:ilvl w:val="0"/>
          <w:numId w:val="2"/>
        </w:numPr>
        <w:spacing w:after="80" w:before="80"/>
      </w:pPr>
      <w:r>
        <w:rPr>
          <w:rFonts w:ascii="Arial" w:cs="Arial" w:eastAsia="Arial" w:hAnsi="Arial"/>
          <w:i/>
          <w:iCs/>
          <w:sz w:val="22"/>
          <w:szCs w:val="22"/>
        </w:rPr>
        <w:t xml:space="preserve">"Bypassing Nigerian Bank APIs — the FinSight Architecture"</w:t>
      </w:r>
    </w:p>
    <w:p>
      <w:pPr>
        <w:pStyle w:val="ListParagraph"/>
        <w:numPr>
          <w:ilvl w:val="0"/>
          <w:numId w:val="2"/>
        </w:numPr>
        <w:spacing w:after="80" w:before="80"/>
      </w:pPr>
      <w:r>
        <w:rPr>
          <w:rFonts w:ascii="Arial" w:cs="Arial" w:eastAsia="Arial" w:hAnsi="Arial"/>
          <w:i/>
          <w:iCs/>
          <w:sz w:val="22"/>
          <w:szCs w:val="22"/>
        </w:rPr>
        <w:t xml:space="preserve">"SSE Broadcasting in ASP.NET Core — How Alify's Live Feed Works"</w:t>
      </w:r>
    </w:p>
    <w:p>
      <w:pPr>
        <w:pStyle w:val="ListParagraph"/>
        <w:numPr>
          <w:ilvl w:val="0"/>
          <w:numId w:val="2"/>
        </w:numPr>
        <w:spacing w:after="80" w:before="80"/>
      </w:pPr>
      <w:r>
        <w:rPr>
          <w:rFonts w:ascii="Arial" w:cs="Arial" w:eastAsia="Arial" w:hAnsi="Arial"/>
          <w:i/>
          <w:iCs/>
          <w:sz w:val="22"/>
          <w:szCs w:val="22"/>
        </w:rPr>
        <w:t xml:space="preserve">"Load Testing Your Own API with Inti.Kasala"</w:t>
      </w:r>
    </w:p>
    <w:p>
      <w:pPr>
        <w:spacing w:after="0" w:before="80"/>
      </w:pPr>
      <w:r>
        <w:t xml:space="preserve"/>
      </w:r>
    </w:p>
    <w:p>
      <w:pPr>
        <w:spacing w:after="120" w:before="120"/>
        <w:jc w:val="left"/>
      </w:pPr>
      <w:r>
        <w:rPr>
          <w:rFonts w:ascii="Arial" w:cs="Arial" w:eastAsia="Arial" w:hAnsi="Arial"/>
          <w:color w:val="000000"/>
          <w:sz w:val="22"/>
          <w:szCs w:val="22"/>
        </w:rPr>
        <w:t xml:space="preserve">Every post feeds SEO for both "Intisor Abdulawwal" and "INTITECH". The blog is the surface area that closes the gap between invisible and visible.</w:t>
      </w:r>
    </w:p>
    <w:p>
      <w:r>
        <w:br/>
        <w:t xml:space="preserve"/>
      </w:r>
    </w:p>
    <w:p>
      <w:pPr>
        <w:pStyle w:val="Heading1"/>
        <w:spacing w:after="160" w:before="400"/>
      </w:pPr>
      <w:r>
        <w:rPr>
          <w:rFonts w:ascii="Georgia" w:cs="Georgia" w:eastAsia="Georgia" w:hAnsi="Georgia"/>
          <w:b/>
          <w:bCs/>
          <w:color w:val="080705"/>
          <w:sz w:val="36"/>
          <w:szCs w:val="36"/>
        </w:rPr>
        <w:t xml:space="preserve">05 · SEO STRATEGY</w:t>
      </w:r>
    </w:p>
    <w:p>
      <w:pPr>
        <w:pStyle w:val="Heading2"/>
        <w:pBdr>
          <w:bottom w:val="single" w:color="c8612a" w:sz="4" w:space="4"/>
        </w:pBdr>
        <w:spacing w:after="120" w:before="320"/>
      </w:pPr>
      <w:r>
        <w:rPr>
          <w:rFonts w:ascii="Georgia" w:cs="Georgia" w:eastAsia="Georgia" w:hAnsi="Georgia"/>
          <w:b/>
          <w:bCs/>
          <w:color w:val="080705"/>
          <w:sz w:val="28"/>
          <w:szCs w:val="28"/>
        </w:rPr>
        <w:t xml:space="preserve">The Core Problem</w:t>
      </w:r>
    </w:p>
    <w:p>
      <w:pPr>
        <w:spacing w:after="120" w:before="120"/>
        <w:jc w:val="left"/>
      </w:pPr>
      <w:r>
        <w:rPr>
          <w:rFonts w:ascii="Arial" w:cs="Arial" w:eastAsia="Arial" w:hAnsi="Arial"/>
          <w:color w:val="000000"/>
          <w:sz w:val="22"/>
          <w:szCs w:val="22"/>
        </w:rPr>
        <w:t xml:space="preserve">"Intisor Abdulawwal" already returns results. "INTITECH" returns other companies unless "dev" is added. The goal is to connect both search identities to intitech.dev and grow the INTITECH brand term over time.</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JSON-LD Person Schema</w:t>
      </w:r>
    </w:p>
    <w:p>
      <w:pPr>
        <w:spacing w:after="120" w:before="120"/>
        <w:jc w:val="left"/>
      </w:pPr>
      <w:r>
        <w:rPr>
          <w:rFonts w:ascii="Arial" w:cs="Arial" w:eastAsia="Arial" w:hAnsi="Arial"/>
          <w:color w:val="000000"/>
          <w:sz w:val="22"/>
          <w:szCs w:val="22"/>
        </w:rPr>
        <w:t xml:space="preserve">The JSON-LD @graph on intitech.dev tells Google that Abdulawwal Intisor Mawupego = Intitech = intitech.dev. Key fields:</w:t>
      </w:r>
    </w:p>
    <w:p>
      <w:pPr>
        <w:spacing w:after="0" w:before="80"/>
      </w:pPr>
      <w:r>
        <w:t xml:space="preserve"/>
      </w:r>
    </w:p>
    <w:p>
      <w:pPr>
        <w:pStyle w:val="ListParagraph"/>
        <w:numPr>
          <w:ilvl w:val="0"/>
          <w:numId w:val="2"/>
        </w:numPr>
        <w:spacing w:after="80" w:before="80"/>
      </w:pPr>
      <w:r>
        <w:rPr>
          <w:rFonts w:ascii="Courier New" w:cs="Courier New" w:eastAsia="Courier New" w:hAnsi="Courier New"/>
          <w:sz w:val="20"/>
          <w:szCs w:val="20"/>
        </w:rPr>
        <w:t xml:space="preserve">name: "Abdulawwal Intisor Mawupego"</w:t>
      </w:r>
    </w:p>
    <w:p>
      <w:pPr>
        <w:pStyle w:val="ListParagraph"/>
        <w:numPr>
          <w:ilvl w:val="0"/>
          <w:numId w:val="2"/>
        </w:numPr>
        <w:spacing w:after="80" w:before="80"/>
      </w:pPr>
      <w:r>
        <w:rPr>
          <w:rFonts w:ascii="Courier New" w:cs="Courier New" w:eastAsia="Courier New" w:hAnsi="Courier New"/>
          <w:sz w:val="20"/>
          <w:szCs w:val="20"/>
        </w:rPr>
        <w:t xml:space="preserve">alternateName: ["Intitech", "Intisor Abdulawwal", "Abdulawwal Intisor"]</w:t>
      </w:r>
    </w:p>
    <w:p>
      <w:pPr>
        <w:pStyle w:val="ListParagraph"/>
        <w:numPr>
          <w:ilvl w:val="0"/>
          <w:numId w:val="2"/>
        </w:numPr>
        <w:spacing w:after="80" w:before="80"/>
      </w:pPr>
      <w:r>
        <w:rPr>
          <w:rFonts w:ascii="Courier New" w:cs="Courier New" w:eastAsia="Courier New" w:hAnsi="Courier New"/>
          <w:sz w:val="20"/>
          <w:szCs w:val="20"/>
        </w:rPr>
        <w:t xml:space="preserve">sameAs: [GitHub, Twitter, LinkedIn, Substack URLs]</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Required Files at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sitemap.xml</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Submit to Google Search Console. Lists all indexed pages.</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robots.txt</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Allow: / — references sitemap URL</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og-image.png</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1200×630px — referenced in OG meta tags for social previews</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20"/>
                <w:szCs w:val="20"/>
              </w:rPr>
              <w:t xml:space="preserve">favicon.svg</w:t>
            </w:r>
          </w:p>
        </w:tc>
        <w:tc>
          <w:tcPr>
            <w:tcW w:type="dxa" w:w="69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Karakul cap mark — SVG scales perfectly at all sizes</w:t>
            </w:r>
          </w:p>
        </w:tc>
      </w:tr>
    </w:tbl>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Backlink Strategy</w:t>
      </w:r>
    </w:p>
    <w:p>
      <w:pPr>
        <w:spacing w:after="120" w:before="120"/>
        <w:jc w:val="left"/>
      </w:pPr>
      <w:r>
        <w:rPr>
          <w:rFonts w:ascii="Arial" w:cs="Arial" w:eastAsia="Arial" w:hAnsi="Arial"/>
          <w:b/>
          <w:bCs/>
          <w:color w:val="000000"/>
          <w:sz w:val="22"/>
          <w:szCs w:val="22"/>
        </w:rPr>
        <w:t xml:space="preserve">Every platform presence should point back to intitech.dev:</w:t>
      </w:r>
    </w:p>
    <w:p>
      <w:pPr>
        <w:pStyle w:val="ListParagraph"/>
        <w:numPr>
          <w:ilvl w:val="0"/>
          <w:numId w:val="2"/>
        </w:numPr>
        <w:spacing w:after="80" w:before="80"/>
      </w:pPr>
      <w:r>
        <w:rPr>
          <w:rFonts w:ascii="Arial" w:cs="Arial" w:eastAsia="Arial" w:hAnsi="Arial"/>
          <w:sz w:val="22"/>
          <w:szCs w:val="22"/>
        </w:rPr>
        <w:t xml:space="preserve">GitHub profile → website: intitech.dev</w:t>
      </w:r>
    </w:p>
    <w:p>
      <w:pPr>
        <w:pStyle w:val="ListParagraph"/>
        <w:numPr>
          <w:ilvl w:val="0"/>
          <w:numId w:val="2"/>
        </w:numPr>
        <w:spacing w:after="80" w:before="80"/>
      </w:pPr>
      <w:r>
        <w:rPr>
          <w:rFonts w:ascii="Arial" w:cs="Arial" w:eastAsia="Arial" w:hAnsi="Arial"/>
          <w:sz w:val="22"/>
          <w:szCs w:val="22"/>
        </w:rPr>
        <w:t xml:space="preserve">LinkedIn profile → website: intitech.dev</w:t>
      </w:r>
    </w:p>
    <w:p>
      <w:pPr>
        <w:pStyle w:val="ListParagraph"/>
        <w:numPr>
          <w:ilvl w:val="0"/>
          <w:numId w:val="2"/>
        </w:numPr>
        <w:spacing w:after="80" w:before="80"/>
      </w:pPr>
      <w:r>
        <w:rPr>
          <w:rFonts w:ascii="Arial" w:cs="Arial" w:eastAsia="Arial" w:hAnsi="Arial"/>
          <w:sz w:val="22"/>
          <w:szCs w:val="22"/>
        </w:rPr>
        <w:t xml:space="preserve">Twitter/X bio → intitech.dev</w:t>
      </w:r>
    </w:p>
    <w:p>
      <w:pPr>
        <w:pStyle w:val="ListParagraph"/>
        <w:numPr>
          <w:ilvl w:val="0"/>
          <w:numId w:val="2"/>
        </w:numPr>
        <w:spacing w:after="80" w:before="80"/>
      </w:pPr>
      <w:r>
        <w:rPr>
          <w:rFonts w:ascii="Arial" w:cs="Arial" w:eastAsia="Arial" w:hAnsi="Arial"/>
          <w:sz w:val="22"/>
          <w:szCs w:val="22"/>
        </w:rPr>
        <w:t xml:space="preserve">Substack About page → intitech.dev</w:t>
      </w:r>
    </w:p>
    <w:p>
      <w:pPr>
        <w:pStyle w:val="ListParagraph"/>
        <w:numPr>
          <w:ilvl w:val="0"/>
          <w:numId w:val="2"/>
        </w:numPr>
        <w:spacing w:after="80" w:before="80"/>
      </w:pPr>
      <w:r>
        <w:rPr>
          <w:rFonts w:ascii="Arial" w:cs="Arial" w:eastAsia="Arial" w:hAnsi="Arial"/>
          <w:sz w:val="22"/>
          <w:szCs w:val="22"/>
        </w:rPr>
        <w:t xml:space="preserve">Every blog post links back to portfolio projects</w:t>
      </w:r>
    </w:p>
    <w:p>
      <w:r>
        <w:br/>
        <w:t xml:space="preserve"/>
      </w:r>
    </w:p>
    <w:p>
      <w:pPr>
        <w:pStyle w:val="Heading1"/>
        <w:spacing w:after="160" w:before="400"/>
      </w:pPr>
      <w:r>
        <w:rPr>
          <w:rFonts w:ascii="Georgia" w:cs="Georgia" w:eastAsia="Georgia" w:hAnsi="Georgia"/>
          <w:b/>
          <w:bCs/>
          <w:color w:val="080705"/>
          <w:sz w:val="36"/>
          <w:szCs w:val="36"/>
        </w:rPr>
        <w:t xml:space="preserve">06 · PROJECT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Project</w:t>
            </w:r>
          </w:p>
        </w:tc>
        <w:tc>
          <w:tcPr>
            <w:tcW w:type="dxa" w:w="376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Description</w:t>
            </w:r>
          </w:p>
        </w:tc>
        <w:tc>
          <w:tcPr>
            <w:tcW w:type="dxa" w:w="3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Stack</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AMSA Reporting System</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National → State → Unit hierarchy reporting. JWT role scoping. Report state machine.</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Blazor Server, SQL Server, EF Core, JWT</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FinSight</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B2B financial data layer for Nigerian SMEs. OAuth email parsing, PDF ingestion.</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ASP.NET Core, Hangfire, PdfPig, OAuth</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Zikfash</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Smart tailoring — digital measurements, customer profiles, order tracking. Born from mother's shop.</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Blazor, ASP.NET Core, SVG body figure</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VIIDII</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Video conferencing with WebRTC, SignalR hub, QR attendance generation.</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Blazor, SignalR, WebRTC, PeerJS</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Kilanje</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AI meal intelligence for Nigerian market. Voice input. Cook Now / Almost Ready modes.</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React Native, Whisper API, ASP.NET Core</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Alify</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Spotify integration, lyrics scraping via Playwright, AI moderation with Gemini → OpenRouter failover, SSE broadcasting.</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ASP.NET Core, SignalR, Playwright, Claude/Gemini</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AI Capture</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Chrome/Brave MV3 extension capturing AI responses across 5 platforms. Export as txt/md/html.</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Chrome MV3, Vanilla JS, Content Scripts</w:t>
            </w:r>
          </w:p>
        </w:tc>
      </w:tr>
      <w:tr>
        <w:tc>
          <w:tcPr>
            <w:tcW w:type="dxa" w:w="22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i.intitech.dev (SmallURL)</w:t>
            </w:r>
          </w:p>
        </w:tc>
        <w:tc>
          <w:tcPr>
            <w:tcW w:type="dxa" w:w="37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Branded URL shortener with click analytics. Custom slugs. Dashboard.</w:t>
            </w:r>
          </w:p>
        </w:tc>
        <w:tc>
          <w:tcPr>
            <w:tcW w:type="dxa" w:w="3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Courier New" w:cs="Courier New" w:eastAsia="Courier New" w:hAnsi="Courier New"/>
                <w:color w:val="000000"/>
                <w:sz w:val="18"/>
                <w:szCs w:val="18"/>
              </w:rPr>
              <w:t xml:space="preserve">ASP.NET Core Minimal API, SQLite, Hashids</w:t>
            </w:r>
          </w:p>
        </w:tc>
      </w:tr>
    </w:tbl>
    <w:p>
      <w:r>
        <w:br/>
        <w:t xml:space="preserve"/>
      </w:r>
    </w:p>
    <w:p>
      <w:pPr>
        <w:pStyle w:val="Heading1"/>
        <w:spacing w:after="160" w:before="400"/>
      </w:pPr>
      <w:r>
        <w:rPr>
          <w:rFonts w:ascii="Georgia" w:cs="Georgia" w:eastAsia="Georgia" w:hAnsi="Georgia"/>
          <w:b/>
          <w:bCs/>
          <w:color w:val="080705"/>
          <w:sz w:val="36"/>
          <w:szCs w:val="36"/>
        </w:rPr>
        <w:t xml:space="preserve">07 · CONTENT &amp; VISIBILITY STRATEGY</w:t>
      </w:r>
    </w:p>
    <w:p>
      <w:pPr>
        <w:pStyle w:val="Heading2"/>
        <w:pBdr>
          <w:bottom w:val="single" w:color="c8612a" w:sz="4" w:space="4"/>
        </w:pBdr>
        <w:spacing w:after="120" w:before="320"/>
      </w:pPr>
      <w:r>
        <w:rPr>
          <w:rFonts w:ascii="Georgia" w:cs="Georgia" w:eastAsia="Georgia" w:hAnsi="Georgia"/>
          <w:b/>
          <w:bCs/>
          <w:color w:val="080705"/>
          <w:sz w:val="28"/>
          <w:szCs w:val="28"/>
        </w:rPr>
        <w:t xml:space="preserve">The July Goal</w:t>
      </w:r>
    </w:p>
    <w:p>
      <w:pPr>
        <w:pBdr>
          <w:left w:val="single" w:color="c8612a" w:sz="14" w:space="10"/>
        </w:pBdr>
        <w:spacing w:after="200" w:before="200"/>
        <w:ind w:left="360"/>
      </w:pPr>
      <w:r>
        <w:rPr>
          <w:rFonts w:ascii="Georgia" w:cs="Georgia" w:eastAsia="Georgia" w:hAnsi="Georgia"/>
          <w:i/>
          <w:iCs/>
          <w:color w:val="3A3428"/>
          <w:sz w:val="26"/>
          <w:szCs w:val="26"/>
        </w:rPr>
        <w:t xml:space="preserve">"Visible and making money before July." — Abdulawwal Intisor</w:t>
      </w:r>
    </w:p>
    <w:p>
      <w:pPr>
        <w:spacing w:after="120" w:before="120"/>
        <w:jc w:val="left"/>
      </w:pPr>
      <w:r>
        <w:rPr>
          <w:rFonts w:ascii="Arial" w:cs="Arial" w:eastAsia="Arial" w:hAnsi="Arial"/>
          <w:color w:val="000000"/>
          <w:sz w:val="22"/>
          <w:szCs w:val="22"/>
        </w:rPr>
        <w:t xml:space="preserve">The gap between current state and visible + paid is not skill. It is surface area — how many places show up when someone searches for a C#/.NET freelancer from Nigeria.</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Surface Area Plan</w:t>
      </w:r>
    </w:p>
    <w:p>
      <w:pPr>
        <w:pStyle w:val="ListParagraph"/>
        <w:numPr>
          <w:ilvl w:val="0"/>
          <w:numId w:val="3"/>
        </w:numPr>
        <w:spacing w:after="100" w:before="100"/>
      </w:pPr>
      <w:r>
        <w:rPr>
          <w:rFonts w:ascii="Arial" w:cs="Arial" w:eastAsia="Arial" w:hAnsi="Arial"/>
          <w:b/>
          <w:bCs/>
          <w:sz w:val="22"/>
          <w:szCs w:val="22"/>
        </w:rPr>
        <w:t xml:space="preserve">intitech.dev live with full portfolio and live API — DONE</w:t>
      </w:r>
    </w:p>
    <w:p>
      <w:pPr>
        <w:pStyle w:val="ListParagraph"/>
        <w:numPr>
          <w:ilvl w:val="0"/>
          <w:numId w:val="3"/>
        </w:numPr>
        <w:spacing w:after="100" w:before="100"/>
      </w:pPr>
      <w:r>
        <w:rPr>
          <w:rFonts w:ascii="Arial" w:cs="Arial" w:eastAsia="Arial" w:hAnsi="Arial"/>
          <w:sz w:val="22"/>
          <w:szCs w:val="22"/>
        </w:rPr>
        <w:t xml:space="preserve">blogs.intitech.dev — first 3 deep technical posts published</w:t>
      </w:r>
    </w:p>
    <w:p>
      <w:pPr>
        <w:pStyle w:val="ListParagraph"/>
        <w:numPr>
          <w:ilvl w:val="0"/>
          <w:numId w:val="3"/>
        </w:numPr>
        <w:spacing w:after="100" w:before="100"/>
      </w:pPr>
      <w:r>
        <w:rPr>
          <w:rFonts w:ascii="Arial" w:cs="Arial" w:eastAsia="Arial" w:hAnsi="Arial"/>
          <w:sz w:val="22"/>
          <w:szCs w:val="22"/>
        </w:rPr>
        <w:t xml:space="preserve">Upwork profile live — C# / ASP.NET Core / AI Integration positioning</w:t>
      </w:r>
    </w:p>
    <w:p>
      <w:pPr>
        <w:pStyle w:val="ListParagraph"/>
        <w:numPr>
          <w:ilvl w:val="0"/>
          <w:numId w:val="3"/>
        </w:numPr>
        <w:spacing w:after="100" w:before="100"/>
      </w:pPr>
      <w:r>
        <w:rPr>
          <w:rFonts w:ascii="Arial" w:cs="Arial" w:eastAsia="Arial" w:hAnsi="Arial"/>
          <w:sz w:val="22"/>
          <w:szCs w:val="22"/>
        </w:rPr>
        <w:t xml:space="preserve">Google Search Console — intitech.dev + blogs.intitech.dev indexed</w:t>
      </w:r>
    </w:p>
    <w:p>
      <w:pPr>
        <w:pStyle w:val="ListParagraph"/>
        <w:numPr>
          <w:ilvl w:val="0"/>
          <w:numId w:val="3"/>
        </w:numPr>
        <w:spacing w:after="100" w:before="100"/>
      </w:pPr>
      <w:r>
        <w:rPr>
          <w:rFonts w:ascii="Arial" w:cs="Arial" w:eastAsia="Arial" w:hAnsi="Arial"/>
          <w:sz w:val="22"/>
          <w:szCs w:val="22"/>
        </w:rPr>
        <w:t xml:space="preserve">Twitter/X presence — punchy essays and build-in-public posts</w:t>
      </w:r>
    </w:p>
    <w:p>
      <w:pPr>
        <w:pStyle w:val="ListParagraph"/>
        <w:numPr>
          <w:ilvl w:val="0"/>
          <w:numId w:val="3"/>
        </w:numPr>
        <w:spacing w:after="100" w:before="100"/>
      </w:pPr>
      <w:r>
        <w:rPr>
          <w:rFonts w:ascii="Arial" w:cs="Arial" w:eastAsia="Arial" w:hAnsi="Arial"/>
          <w:sz w:val="22"/>
          <w:szCs w:val="22"/>
        </w:rPr>
        <w:t xml:space="preserve">Substack — long-form essays at intersection of tech, philosophy, Nigeria</w:t>
      </w:r>
    </w:p>
    <w:p>
      <w:pPr>
        <w:spacing w:after="0" w:before="120"/>
      </w:pPr>
      <w:r>
        <w:t xml:space="preserve"/>
      </w:r>
    </w:p>
    <w:p>
      <w:pPr>
        <w:pStyle w:val="Heading2"/>
        <w:pBdr>
          <w:bottom w:val="single" w:color="c8612a" w:sz="4" w:space="4"/>
        </w:pBdr>
        <w:spacing w:after="120" w:before="320"/>
      </w:pPr>
      <w:r>
        <w:rPr>
          <w:rFonts w:ascii="Georgia" w:cs="Georgia" w:eastAsia="Georgia" w:hAnsi="Georgia"/>
          <w:b/>
          <w:bCs/>
          <w:color w:val="080705"/>
          <w:sz w:val="28"/>
          <w:szCs w:val="28"/>
        </w:rPr>
        <w:t xml:space="preserve">Brand Voice</w:t>
      </w:r>
    </w:p>
    <w:p>
      <w:pPr>
        <w:spacing w:after="120" w:before="120"/>
        <w:jc w:val="left"/>
      </w:pPr>
      <w:r>
        <w:rPr>
          <w:rFonts w:ascii="Arial" w:cs="Arial" w:eastAsia="Arial" w:hAnsi="Arial"/>
          <w:color w:val="000000"/>
          <w:sz w:val="22"/>
          <w:szCs w:val="22"/>
        </w:rPr>
        <w:t xml:space="preserve">Written voice: punchy, humor-driven, Nigerian cultural references, never apologetic about origin. The Substack and Twitter presence should feel like the person who said "I build what's needed" — not like a LinkedIn post.</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Direct — no fluff, no corporate speak</w:t>
      </w:r>
    </w:p>
    <w:p>
      <w:pPr>
        <w:pStyle w:val="ListParagraph"/>
        <w:numPr>
          <w:ilvl w:val="0"/>
          <w:numId w:val="2"/>
        </w:numPr>
        <w:spacing w:after="80" w:before="80"/>
      </w:pPr>
      <w:r>
        <w:rPr>
          <w:rFonts w:ascii="Arial" w:cs="Arial" w:eastAsia="Arial" w:hAnsi="Arial"/>
          <w:sz w:val="22"/>
          <w:szCs w:val="22"/>
        </w:rPr>
        <w:t xml:space="preserve">Rooted — Nigerian context is a feature not a disclaimer</w:t>
      </w:r>
    </w:p>
    <w:p>
      <w:pPr>
        <w:pStyle w:val="ListParagraph"/>
        <w:numPr>
          <w:ilvl w:val="0"/>
          <w:numId w:val="2"/>
        </w:numPr>
        <w:spacing w:after="80" w:before="80"/>
      </w:pPr>
      <w:r>
        <w:rPr>
          <w:rFonts w:ascii="Arial" w:cs="Arial" w:eastAsia="Arial" w:hAnsi="Arial"/>
          <w:sz w:val="22"/>
          <w:szCs w:val="22"/>
        </w:rPr>
        <w:t xml:space="preserve">Technical but human — deep architecture posts written for people not parsers</w:t>
      </w:r>
    </w:p>
    <w:p>
      <w:pPr>
        <w:pStyle w:val="ListParagraph"/>
        <w:numPr>
          <w:ilvl w:val="0"/>
          <w:numId w:val="2"/>
        </w:numPr>
        <w:spacing w:after="80" w:before="80"/>
      </w:pPr>
      <w:r>
        <w:rPr>
          <w:rFonts w:ascii="Arial" w:cs="Arial" w:eastAsia="Arial" w:hAnsi="Arial"/>
          <w:sz w:val="22"/>
          <w:szCs w:val="22"/>
        </w:rPr>
        <w:t xml:space="preserve">Opinionated — angry about fintech clones, excited about real problems</w:t>
      </w:r>
    </w:p>
    <w:p>
      <w:r>
        <w:br/>
        <w:t xml:space="preserve"/>
      </w:r>
    </w:p>
    <w:p>
      <w:pPr>
        <w:pStyle w:val="Heading1"/>
        <w:spacing w:after="160" w:before="400"/>
      </w:pPr>
      <w:r>
        <w:rPr>
          <w:rFonts w:ascii="Georgia" w:cs="Georgia" w:eastAsia="Georgia" w:hAnsi="Georgia"/>
          <w:b/>
          <w:bCs/>
          <w:color w:val="080705"/>
          <w:sz w:val="36"/>
          <w:szCs w:val="36"/>
        </w:rPr>
        <w:t xml:space="preserve">08 · TOOLS &amp; STACK REFERENCE</w:t>
      </w:r>
    </w:p>
    <w:p>
      <w:pPr>
        <w:pStyle w:val="Heading2"/>
        <w:pBdr>
          <w:bottom w:val="single" w:color="c8612a" w:sz="4" w:space="4"/>
        </w:pBdr>
        <w:spacing w:after="120" w:before="320"/>
      </w:pPr>
      <w:r>
        <w:rPr>
          <w:rFonts w:ascii="Georgia" w:cs="Georgia" w:eastAsia="Georgia" w:hAnsi="Georgia"/>
          <w:b/>
          <w:bCs/>
          <w:color w:val="080705"/>
          <w:sz w:val="28"/>
          <w:szCs w:val="28"/>
        </w:rPr>
        <w:t xml:space="preserve">Free Tools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Tool</w:t>
            </w:r>
          </w:p>
        </w:tc>
        <w:tc>
          <w:tcPr>
            <w:tcW w:type="dxa" w:w="240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Cost</w:t>
            </w:r>
          </w:p>
        </w:tc>
        <w:tc>
          <w:tcPr>
            <w:tcW w:type="dxa" w:w="4560"/>
            <w:tcBorders>
              <w:top w:val="single" w:color="D4C9B8" w:sz="1"/>
              <w:left w:val="single" w:color="D4C9B8" w:sz="1"/>
              <w:bottom w:val="single" w:color="D4C9B8" w:sz="1"/>
              <w:right w:val="single" w:color="D4C9B8" w:sz="1"/>
            </w:tcBorders>
            <w:shd w:fill="F5F3EF" w:val="clear"/>
            <w:tcMar>
              <w:top w:type="dxa" w:w="100"/>
              <w:left w:type="dxa" w:w="140"/>
              <w:bottom w:type="dxa" w:w="100"/>
              <w:right w:type="dxa" w:w="140"/>
            </w:tcMar>
          </w:tcPr>
          <w:p>
            <w:pPr>
              <w:spacing w:after="120" w:before="120"/>
              <w:jc w:val="left"/>
            </w:pPr>
            <w:r>
              <w:rPr>
                <w:rFonts w:ascii="Arial" w:cs="Arial" w:eastAsia="Arial" w:hAnsi="Arial"/>
                <w:b/>
                <w:bCs/>
                <w:color w:val="000000"/>
                <w:sz w:val="20"/>
                <w:szCs w:val="20"/>
              </w:rPr>
              <w:t xml:space="preserve">Use</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React + Vite</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Portfolio frontend</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Statiq.Web</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(non-commercial)</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Technical blog — C# SSG</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GitHub Pages</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Portfolio + blog hosting</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Railway</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tier</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API + URL shortener hosting</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Vercel</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tier</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Project subdomains e.g. zikfash.intitech.dev</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Google Search Console</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SEO monitoring and sitemap submission</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Framer Motion</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Portfolio animations</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Lucide React</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(MIT)</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Icons — no Font Awesome</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Radix UI</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(MIT)</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Headless component primitives</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Shiki</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Code syntax highlighting on blog</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Namecheap (edu)</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via GitHub Edu</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intitech.dev domain — already live</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IconScout (edu)</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via GitHub Edu</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Icons, Lottie animations</w:t>
            </w:r>
          </w:p>
        </w:tc>
      </w:tr>
      <w:tr>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Polypane (edu)</w:t>
            </w:r>
          </w:p>
        </w:tc>
        <w:tc>
          <w:tcPr>
            <w:tcW w:type="dxa" w:w="240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Free via GitHub Edu</w:t>
            </w:r>
          </w:p>
        </w:tc>
        <w:tc>
          <w:tcPr>
            <w:tcW w:type="dxa" w:w="4560"/>
            <w:tcBorders>
              <w:top w:val="single" w:color="D4C9B8" w:sz="1"/>
              <w:left w:val="single" w:color="D4C9B8" w:sz="1"/>
              <w:bottom w:val="single" w:color="D4C9B8" w:sz="1"/>
              <w:right w:val="single" w:color="D4C9B8" w:sz="1"/>
            </w:tcBorders>
            <w:tcMar>
              <w:top w:type="dxa" w:w="100"/>
              <w:left w:type="dxa" w:w="140"/>
              <w:bottom w:type="dxa" w:w="100"/>
              <w:right w:type="dxa" w:w="140"/>
            </w:tcMar>
          </w:tcPr>
          <w:p>
            <w:pPr>
              <w:spacing w:after="120" w:before="120"/>
              <w:jc w:val="left"/>
            </w:pPr>
            <w:r>
              <w:rPr>
                <w:rFonts w:ascii="Arial" w:cs="Arial" w:eastAsia="Arial" w:hAnsi="Arial"/>
                <w:color w:val="000000"/>
                <w:sz w:val="20"/>
                <w:szCs w:val="20"/>
              </w:rPr>
              <w:t xml:space="preserve">Responsive testing across breakpoints</w:t>
            </w:r>
          </w:p>
        </w:tc>
      </w:tr>
    </w:tbl>
    <w:p>
      <w:r>
        <w:br/>
        <w:t xml:space="preserve"/>
      </w:r>
    </w:p>
    <w:p>
      <w:pPr>
        <w:spacing w:after="0" w:before="800"/>
      </w:pPr>
      <w:r>
        <w:t xml:space="preserve"/>
      </w:r>
    </w:p>
    <w:p>
      <w:pPr>
        <w:pBdr>
          <w:top w:val="single" w:color="c8612a" w:sz="2" w:space="8"/>
        </w:pBdr>
        <w:spacing w:after="120" w:before="0"/>
        <w:jc w:val="center"/>
      </w:pPr>
      <w:r>
        <w:t xml:space="preserve"/>
      </w:r>
    </w:p>
    <w:p>
      <w:pPr>
        <w:spacing w:after="0" w:before="200"/>
      </w:pPr>
      <w:r>
        <w:t xml:space="preserve"/>
      </w:r>
    </w:p>
    <w:p>
      <w:pPr>
        <w:spacing w:after="80" w:before="0"/>
        <w:jc w:val="center"/>
      </w:pPr>
      <w:r>
        <w:rPr>
          <w:rFonts w:ascii="Georgia" w:cs="Georgia" w:eastAsia="Georgia" w:hAnsi="Georgia"/>
          <w:b/>
          <w:bCs/>
          <w:color w:val="080705"/>
          <w:sz w:val="48"/>
          <w:szCs w:val="48"/>
        </w:rPr>
        <w:t xml:space="preserve">INTITECH</w:t>
      </w:r>
    </w:p>
    <w:p>
      <w:pPr>
        <w:spacing w:after="80" w:before="0"/>
        <w:jc w:val="center"/>
      </w:pPr>
      <w:r>
        <w:rPr>
          <w:rFonts w:ascii="Georgia" w:cs="Georgia" w:eastAsia="Georgia" w:hAnsi="Georgia"/>
          <w:i/>
          <w:iCs/>
          <w:color w:val="6b6355"/>
          <w:sz w:val="26"/>
          <w:szCs w:val="26"/>
        </w:rPr>
        <w:t xml:space="preserve">"I build what's needed."</w:t>
      </w:r>
    </w:p>
    <w:p>
      <w:pPr>
        <w:spacing w:after="80" w:before="0"/>
        <w:jc w:val="center"/>
      </w:pPr>
      <w:r>
        <w:rPr>
          <w:rFonts w:ascii="Courier New" w:cs="Courier New" w:eastAsia="Courier New" w:hAnsi="Courier New"/>
          <w:color w:val="D4C9B8"/>
          <w:sz w:val="18"/>
          <w:szCs w:val="18"/>
        </w:rPr>
        <w:t xml:space="preserve">IN·novaTIve·TECH</w:t>
      </w:r>
    </w:p>
    <w:p>
      <w:pPr>
        <w:spacing w:after="0" w:before="0"/>
        <w:jc w:val="center"/>
      </w:pPr>
      <w:r>
        <w:rPr>
          <w:rFonts w:ascii="Courier New" w:cs="Courier New" w:eastAsia="Courier New" w:hAnsi="Courier New"/>
          <w:color w:val="D4C9B8"/>
          <w:sz w:val="16"/>
          <w:szCs w:val="16"/>
        </w:rPr>
        <w:t xml:space="preserve">intitech.dev · Akure, Nigeria · MMXXV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8070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080705"/>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080705"/>
      <w:sz w:val="28"/>
      <w:szCs w:val="28"/>
    </w:rPr>
  </w:style>
  <w:style w:type="paragraph" w:styleId="Heading3">
    <w:name w:val="Heading 3"/>
    <w:basedOn w:val="Normal"/>
    <w:next w:val="Normal"/>
    <w:qFormat/>
    <w:pPr>
      <w:spacing w:after="100" w:before="240"/>
      <w:outlineLvl w:val="2"/>
    </w:pPr>
    <w:rPr>
      <w:rFonts w:ascii="Georgia" w:cs="Georgia" w:eastAsia="Georgia" w:hAnsi="Georgia"/>
      <w:b/>
      <w:bCs/>
      <w:color w:val="3A34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2026-04-26T19:28:33.323Z</dcterms:created>
  <dcterms:modified xsi:type="dcterms:W3CDTF">2026-04-26T19:28:33.324Z</dcterms:modified>
</cp:coreProperties>
</file>

<file path=docProps/custom.xml><?xml version="1.0" encoding="utf-8"?>
<Properties xmlns="http://schemas.openxmlformats.org/officeDocument/2006/custom-properties" xmlns:vt="http://schemas.openxmlformats.org/officeDocument/2006/docPropsVTypes"/>
</file>