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bookmarkStart w:id="0" w:name="_top"/>
      <w:bookmarkEnd w:id="0"/>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47635BC6" w14:textId="6EB17399" w:rsidR="0004308F" w:rsidRPr="00B943AD"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0004308F"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2 </w:t>
      </w:r>
      <w:r w:rsidR="00F913EC" w:rsidRPr="00B943AD">
        <w:rPr>
          <w:rFonts w:ascii="Arial Unicode MS" w:eastAsia="Arial Unicode MS" w:hAnsi="Arial Unicode MS" w:cs="Arial Unicode MS"/>
          <w:sz w:val="24"/>
          <w:szCs w:val="24"/>
        </w:rPr>
        <w:t>hrs.</w:t>
      </w:r>
      <w:r w:rsidR="0004308F"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67B6CE3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t>
      </w:r>
      <w:r w:rsidR="004F0756" w:rsidRPr="00B943AD">
        <w:rPr>
          <w:rFonts w:ascii="Arial Unicode MS" w:eastAsia="Arial Unicode MS" w:hAnsi="Arial Unicode MS" w:cs="Arial Unicode MS"/>
          <w:sz w:val="24"/>
          <w:szCs w:val="24"/>
        </w:rPr>
        <w:lastRenderedPageBreak/>
        <w:t xml:space="preserve">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5736B68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bonds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Instead went to UVa-Wise and received a letter from President Obama. To study abroad in Sweden. My complete discography is available on Bandcamp. I'm a BMI writer and </w:t>
      </w:r>
      <w:r w:rsidRPr="00B943AD">
        <w:rPr>
          <w:rFonts w:ascii="Arial Unicode MS" w:eastAsia="Arial Unicode MS" w:hAnsi="Arial Unicode MS" w:cs="Arial Unicode MS"/>
          <w:sz w:val="24"/>
          <w:szCs w:val="24"/>
        </w:rPr>
        <w:lastRenderedPageBreak/>
        <w:t>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in 2018 and joined </w:t>
      </w:r>
      <w:proofErr w:type="spellStart"/>
      <w:r w:rsidRPr="00B943AD">
        <w:rPr>
          <w:rFonts w:ascii="Arial Unicode MS" w:eastAsia="Arial Unicode MS" w:hAnsi="Arial Unicode MS" w:cs="Arial Unicode MS"/>
          <w:sz w:val="24"/>
          <w:szCs w:val="24"/>
        </w:rPr>
        <w:t>Edx</w:t>
      </w:r>
      <w:proofErr w:type="spellEnd"/>
      <w:r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17741D19"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w:t>
      </w:r>
      <w:r w:rsidRPr="00B943AD">
        <w:rPr>
          <w:rFonts w:ascii="Arial Unicode MS" w:eastAsia="Arial Unicode MS" w:hAnsi="Arial Unicode MS" w:cs="Arial Unicode MS"/>
          <w:sz w:val="24"/>
          <w:szCs w:val="24"/>
        </w:rPr>
        <w:lastRenderedPageBreak/>
        <w:t xml:space="preserve">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304430FA"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70B1EA37" w14:textId="77777777"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76AC74E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In Nondisclosure agreement For Flash Player and SWF Source which is now at the Computer History Museum.. Learned Graphic Design from Macromedia. Was a childhood star at Macromedia in the Tri-Cities TN/</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proofErr w:type="spellStart"/>
      <w:r w:rsidRPr="00B943AD">
        <w:rPr>
          <w:rFonts w:ascii="Arial Unicode MS" w:eastAsia="Arial Unicode MS" w:hAnsi="Arial Unicode MS" w:cs="Arial Unicode MS"/>
          <w:sz w:val="24"/>
          <w:szCs w:val="24"/>
        </w:rPr>
        <w:t>Lavigine</w:t>
      </w:r>
      <w:proofErr w:type="spellEnd"/>
      <w:r w:rsidRPr="00B943AD">
        <w:rPr>
          <w:rFonts w:ascii="Arial Unicode MS" w:eastAsia="Arial Unicode MS" w:hAnsi="Arial Unicode MS" w:cs="Arial Unicode MS"/>
          <w:sz w:val="24"/>
          <w:szCs w:val="24"/>
        </w:rPr>
        <w:t xml:space="preserve"> The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proofErr w:type="spellStart"/>
      <w:r w:rsidRPr="00B943AD">
        <w:rPr>
          <w:rFonts w:ascii="Arial Unicode MS" w:eastAsia="Arial Unicode MS" w:hAnsi="Arial Unicode MS" w:cs="Arial Unicode MS"/>
          <w:sz w:val="24"/>
          <w:szCs w:val="24"/>
        </w:rPr>
        <w:t>NetBio</w:t>
      </w:r>
      <w:proofErr w:type="spell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Bought and read the Noble Prize winning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[Competition in consumption as viewed by Jewish law](https://link.springer.com/article/10.1007/BF02388592)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1D6C6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2767"/>
    <w:rsid w:val="0004308F"/>
    <w:rsid w:val="00050BCD"/>
    <w:rsid w:val="00063BD7"/>
    <w:rsid w:val="00073F4B"/>
    <w:rsid w:val="000E1511"/>
    <w:rsid w:val="00176C43"/>
    <w:rsid w:val="001D6C6E"/>
    <w:rsid w:val="001E1E14"/>
    <w:rsid w:val="001E704E"/>
    <w:rsid w:val="00261E41"/>
    <w:rsid w:val="002674D4"/>
    <w:rsid w:val="00291CEA"/>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37</cp:revision>
  <dcterms:created xsi:type="dcterms:W3CDTF">2022-06-20T16:24:00Z</dcterms:created>
  <dcterms:modified xsi:type="dcterms:W3CDTF">2022-06-21T12:55:00Z</dcterms:modified>
</cp:coreProperties>
</file>