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tbl>
      <w:tblPr>
        <w:tblStyle w:val="TableGrid"/>
      </w:tblPr>
      <w:tblGrid>
        <w:gridCol w:w="2340"/>
        <w:gridCol w:w="2340"/>
        <w:gridCol w:w="2340"/>
        <w:gridCol w:w="2340"/>
      </w:tblGrid>
      <w:tr>
        <w:tc>
          <w:tcPr>
            <w:tcW w:w="2340" w:type="dxa"/>
            <w:tcBorders>
              <w:top w:val="single" w:color="000000"/>
              <w:left w:val="nil" w:color="000000"/>
              <w:bottom w:val="nil" w:color="000000"/>
              <w:right w:val="single" w:color="000000"/>
            </w:tcBorders>
          </w:tcPr>
          <w:p>
            <w:pPr>
              <w:spacing w:after="0"/>
            </w:pPr>
          </w:p>
        </w:tc>
        <w:tc>
          <w:tcPr>
            <w:tcW w:w="2340" w:type="dxa"/>
            <w:tcBorders>
              <w:top w:val="single" w:color="000000"/>
              <w:left w:val="single" w:color="000000"/>
              <w:bottom w:val="nil" w:color="000000"/>
              <w:right w:val="nil" w:color="000000"/>
            </w:tcBorders>
            <w:vAlign w:val="bottom"/>
          </w:tcPr>
          <w:p>
            <w:pPr>
              <w:spacing w:after="0"/>
              <w:jc w:val="right"/>
            </w:pPr>
            <w:r>
              <w:t xml:space="preserve">Relatives tested (primary)</w:t>
            </w:r>
          </w:p>
        </w:tc>
        <w:tc>
          <w:tcPr>
            <w:tcW w:w="2340" w:type="dxa"/>
            <w:tcBorders>
              <w:top w:val="single" w:color="000000"/>
              <w:left w:val="nil" w:color="000000"/>
              <w:bottom w:val="nil" w:color="000000"/>
              <w:right w:val="nil" w:color="000000"/>
            </w:tcBorders>
            <w:vAlign w:val="bottom"/>
          </w:tcPr>
          <w:p>
            <w:pPr>
              <w:spacing w:after="0"/>
              <w:jc w:val="right"/>
            </w:pPr>
            <w:r>
              <w:t xml:space="preserve">Relatives invited (secondary)</w:t>
            </w:r>
          </w:p>
        </w:tc>
        <w:tc>
          <w:tcPr>
            <w:tcW w:w="2340" w:type="dxa"/>
            <w:tcBorders>
              <w:top w:val="single" w:color="000000"/>
              <w:left w:val="nil" w:color="000000"/>
              <w:bottom w:val="nil" w:color="000000"/>
              <w:right w:val="nil" w:color="000000"/>
            </w:tcBorders>
            <w:vAlign w:val="bottom"/>
          </w:tcPr>
          <w:p>
            <w:pPr>
              <w:spacing w:after="0"/>
              <w:jc w:val="right"/>
            </w:pPr>
            <w:r>
              <w:t xml:space="preserve">Communication (secondary)</w:t>
            </w:r>
          </w:p>
        </w:tc>
      </w:tr>
      <w:tr>
        <w:tc>
          <w:tcPr>
            <w:tcW w:w="2340" w:type="dxa"/>
            <w:tcBorders>
              <w:top w:val="nil" w:color="000000"/>
              <w:left w:val="nil" w:color="000000"/>
              <w:bottom w:val="single" w:color="000000"/>
              <w:right w:val="single" w:color="000000"/>
            </w:tcBorders>
          </w:tcPr>
          <w:p>
            <w:pPr>
              <w:spacing w:after="0"/>
            </w:pPr>
          </w:p>
        </w:tc>
        <w:tc>
          <w:tcPr>
            <w:tcW w:w="2340" w:type="dxa"/>
            <w:tcBorders>
              <w:top w:val="nil" w:color="000000"/>
              <w:left w:val="single" w:color="000000"/>
              <w:bottom w:val="single" w:color="000000"/>
              <w:right w:val="nil" w:color="000000"/>
            </w:tcBorders>
            <w:vAlign w:val="bottom"/>
          </w:tcPr>
          <w:p>
            <w:pPr>
              <w:spacing w:after="0"/>
              <w:jc w:val="right"/>
            </w:pPr>
            <w:r>
              <w:t xml:space="preserve">Proportion [95% CI]</w:t>
            </w:r>
          </w:p>
        </w:tc>
        <w:tc>
          <w:tcPr>
            <w:tcW w:w="2340" w:type="dxa"/>
            <w:tcBorders>
              <w:top w:val="nil" w:color="000000"/>
              <w:left w:val="nil" w:color="000000"/>
              <w:bottom w:val="single" w:color="000000"/>
              <w:right w:val="nil" w:color="000000"/>
            </w:tcBorders>
            <w:vAlign w:val="bottom"/>
          </w:tcPr>
          <w:p>
            <w:pPr>
              <w:spacing w:after="0"/>
              <w:jc w:val="right"/>
            </w:pPr>
            <w:r>
              <w:t xml:space="preserve">Proportion [95% CI]</w:t>
            </w:r>
          </w:p>
        </w:tc>
        <w:tc>
          <w:tcPr>
            <w:tcW w:w="2340" w:type="dxa"/>
            <w:tcBorders>
              <w:top w:val="nil" w:color="000000"/>
              <w:left w:val="nil" w:color="000000"/>
              <w:bottom w:val="single" w:color="000000"/>
              <w:right w:val="nil" w:color="000000"/>
            </w:tcBorders>
            <w:vAlign w:val="bottom"/>
          </w:tcPr>
          <w:p>
            <w:pPr>
              <w:spacing w:after="0"/>
              <w:jc w:val="right"/>
            </w:pPr>
            <w:r>
              <w:t xml:space="preserve">Proportion [95% CI]</w:t>
            </w:r>
          </w:p>
        </w:tc>
      </w:tr>
      <w:tr>
        <w:tc>
          <w:tcPr>
            <w:tcW w:w="2340" w:type="dxa"/>
            <w:tcBorders>
              <w:top w:val="single" w:color="000000"/>
              <w:left w:val="nil" w:color="000000"/>
              <w:bottom w:val="nil" w:color="000000"/>
              <w:right w:val="single" w:color="000000"/>
            </w:tcBorders>
            <w:vAlign w:val="bottom"/>
          </w:tcPr>
          <w:p>
            <w:pPr>
              <w:spacing w:after="0"/>
              <w:jc w:val="left"/>
            </w:pPr>
            <w:r>
              <w:t xml:space="preserve">Group means cost</w:t>
            </w:r>
          </w:p>
        </w:tc>
        <w:tc>
          <w:tcPr>
            <w:tcW w:w="2340" w:type="dxa"/>
            <w:tcBorders>
              <w:top w:val="single" w:color="000000"/>
              <w:left w:val="single" w:color="000000"/>
              <w:bottom w:val="nil" w:color="000000"/>
              <w:right w:val="nil" w:color="000000"/>
            </w:tcBorders>
          </w:tcPr>
          <w:p>
            <w:pPr>
              <w:spacing w:after="0"/>
            </w:pPr>
          </w:p>
        </w:tc>
        <w:tc>
          <w:tcPr>
            <w:tcW w:w="2340" w:type="dxa"/>
            <w:tcBorders>
              <w:top w:val="single" w:color="000000"/>
              <w:left w:val="nil" w:color="000000"/>
              <w:bottom w:val="nil" w:color="000000"/>
              <w:right w:val="nil" w:color="000000"/>
            </w:tcBorders>
          </w:tcPr>
          <w:p>
            <w:pPr>
              <w:spacing w:after="0"/>
            </w:pPr>
          </w:p>
        </w:tc>
        <w:tc>
          <w:tcPr>
            <w:tcW w:w="2340" w:type="dxa"/>
            <w:tcBorders>
              <w:top w:val="single"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Low-cost (no navigator)</w:t>
            </w:r>
          </w:p>
        </w:tc>
        <w:tc>
          <w:tcPr>
            <w:tcW w:w="2340" w:type="dxa"/>
            <w:tcBorders>
              <w:top w:val="nil" w:color="000000"/>
              <w:left w:val="single" w:color="000000"/>
              <w:bottom w:val="nil" w:color="000000"/>
              <w:right w:val="nil" w:color="000000"/>
            </w:tcBorders>
            <w:vAlign w:val="bottom"/>
          </w:tcPr>
          <w:p>
            <w:pPr>
              <w:spacing w:after="0"/>
              <w:jc w:val="right"/>
            </w:pPr>
            <w:r>
              <w:t xml:space="preserve">0.03 [0.02,  0.04]</w:t>
            </w:r>
          </w:p>
        </w:tc>
        <w:tc>
          <w:tcPr>
            <w:tcW w:w="2340" w:type="dxa"/>
            <w:tcBorders>
              <w:top w:val="nil" w:color="000000"/>
              <w:left w:val="nil" w:color="000000"/>
              <w:bottom w:val="nil" w:color="000000"/>
              <w:right w:val="nil" w:color="000000"/>
            </w:tcBorders>
            <w:vAlign w:val="bottom"/>
          </w:tcPr>
          <w:p>
            <w:pPr>
              <w:spacing w:after="0"/>
              <w:jc w:val="right"/>
            </w:pPr>
            <w:r>
              <w:t xml:space="preserve">0.20 [0.16,  0.23]</w:t>
            </w:r>
          </w:p>
        </w:tc>
        <w:tc>
          <w:tcPr>
            <w:tcW w:w="2340" w:type="dxa"/>
            <w:tcBorders>
              <w:top w:val="nil" w:color="000000"/>
              <w:left w:val="nil" w:color="000000"/>
              <w:bottom w:val="nil" w:color="000000"/>
              <w:right w:val="nil" w:color="000000"/>
            </w:tcBorders>
            <w:vAlign w:val="bottom"/>
          </w:tcPr>
          <w:p>
            <w:pPr>
              <w:spacing w:after="0"/>
              <w:jc w:val="right"/>
            </w:pPr>
            <w:r>
              <w:t xml:space="preserve">0.12 [-0.05,  0.29]</w:t>
            </w:r>
          </w:p>
        </w:tc>
      </w:tr>
      <w:tr>
        <w:tc>
          <w:tcPr>
            <w:tcW w:w="2340" w:type="dxa"/>
            <w:tcBorders>
              <w:top w:val="nil" w:color="000000"/>
              <w:left w:val="nil" w:color="000000"/>
              <w:bottom w:val="nil" w:color="000000"/>
              <w:right w:val="single" w:color="000000"/>
            </w:tcBorders>
            <w:vAlign w:val="bottom"/>
          </w:tcPr>
          <w:p>
            <w:pPr>
              <w:spacing w:after="0"/>
              <w:jc w:val="left"/>
            </w:pPr>
            <w:r>
              <w:t xml:space="preserve">  Free (no navigator)</w:t>
            </w:r>
          </w:p>
        </w:tc>
        <w:tc>
          <w:tcPr>
            <w:tcW w:w="2340" w:type="dxa"/>
            <w:tcBorders>
              <w:top w:val="nil" w:color="000000"/>
              <w:left w:val="single" w:color="000000"/>
              <w:bottom w:val="nil" w:color="000000"/>
              <w:right w:val="nil" w:color="000000"/>
            </w:tcBorders>
            <w:vAlign w:val="bottom"/>
          </w:tcPr>
          <w:p>
            <w:pPr>
              <w:spacing w:after="0"/>
              <w:jc w:val="right"/>
            </w:pPr>
            <w:r>
              <w:t xml:space="preserve">0.07 [0.05,  0.09]</w:t>
            </w:r>
          </w:p>
        </w:tc>
        <w:tc>
          <w:tcPr>
            <w:tcW w:w="2340" w:type="dxa"/>
            <w:tcBorders>
              <w:top w:val="nil" w:color="000000"/>
              <w:left w:val="nil" w:color="000000"/>
              <w:bottom w:val="nil" w:color="000000"/>
              <w:right w:val="nil" w:color="000000"/>
            </w:tcBorders>
            <w:vAlign w:val="bottom"/>
          </w:tcPr>
          <w:p>
            <w:pPr>
              <w:spacing w:after="0"/>
              <w:jc w:val="right"/>
            </w:pPr>
            <w:r>
              <w:t xml:space="preserve">0.23 [0.19,  0.27]</w:t>
            </w:r>
          </w:p>
        </w:tc>
        <w:tc>
          <w:tcPr>
            <w:tcW w:w="2340" w:type="dxa"/>
            <w:tcBorders>
              <w:top w:val="nil" w:color="000000"/>
              <w:left w:val="nil" w:color="000000"/>
              <w:bottom w:val="nil" w:color="000000"/>
              <w:right w:val="nil" w:color="000000"/>
            </w:tcBorders>
            <w:vAlign w:val="bottom"/>
          </w:tcPr>
          <w:p>
            <w:pPr>
              <w:spacing w:after="0"/>
              <w:jc w:val="right"/>
            </w:pPr>
            <w:r>
              <w:t xml:space="preserve">-0.04 [-0.22,  0.14]</w:t>
            </w:r>
          </w:p>
        </w:tc>
      </w:tr>
      <w:tr>
        <w:tc>
          <w:tcPr>
            <w:tcW w:w="2340" w:type="dxa"/>
            <w:tcBorders>
              <w:top w:val="nil" w:color="000000"/>
              <w:left w:val="nil" w:color="000000"/>
              <w:bottom w:val="nil" w:color="000000"/>
              <w:right w:val="single" w:color="000000"/>
            </w:tcBorders>
            <w:vAlign w:val="bottom"/>
          </w:tcPr>
          <w:p>
            <w:pPr>
              <w:spacing w:after="0"/>
              <w:jc w:val="left"/>
            </w:pPr>
            <w:r>
              <w:t xml:space="preserve">Difference (cost)</w:t>
            </w:r>
          </w:p>
        </w:tc>
        <w:tc>
          <w:tcPr>
            <w:tcW w:w="2340" w:type="dxa"/>
            <w:tcBorders>
              <w:top w:val="nil" w:color="000000"/>
              <w:left w:val="single"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Free vs low-cost</w:t>
            </w:r>
          </w:p>
        </w:tc>
        <w:tc>
          <w:tcPr>
            <w:tcW w:w="2340" w:type="dxa"/>
            <w:tcBorders>
              <w:top w:val="nil" w:color="000000"/>
              <w:left w:val="single" w:color="000000"/>
              <w:bottom w:val="nil" w:color="000000"/>
              <w:right w:val="nil" w:color="000000"/>
            </w:tcBorders>
            <w:vAlign w:val="bottom"/>
          </w:tcPr>
          <w:p>
            <w:pPr>
              <w:spacing w:after="0"/>
              <w:jc w:val="right"/>
            </w:pPr>
            <w:r>
              <w:t xml:space="preserve">0.04 [0.02,  0.05]</w:t>
            </w:r>
          </w:p>
        </w:tc>
        <w:tc>
          <w:tcPr>
            <w:tcW w:w="2340" w:type="dxa"/>
            <w:tcBorders>
              <w:top w:val="nil" w:color="000000"/>
              <w:left w:val="nil" w:color="000000"/>
              <w:bottom w:val="nil" w:color="000000"/>
              <w:right w:val="nil" w:color="000000"/>
            </w:tcBorders>
            <w:vAlign w:val="bottom"/>
          </w:tcPr>
          <w:p>
            <w:pPr>
              <w:spacing w:after="0"/>
              <w:jc w:val="right"/>
            </w:pPr>
            <w:r>
              <w:t xml:space="preserve">0.04 [-0.01,  0.08]</w:t>
            </w:r>
          </w:p>
        </w:tc>
        <w:tc>
          <w:tcPr>
            <w:tcW w:w="2340" w:type="dxa"/>
            <w:tcBorders>
              <w:top w:val="nil" w:color="000000"/>
              <w:left w:val="nil" w:color="000000"/>
              <w:bottom w:val="nil" w:color="000000"/>
              <w:right w:val="nil" w:color="000000"/>
            </w:tcBorders>
            <w:vAlign w:val="bottom"/>
          </w:tcPr>
          <w:p>
            <w:pPr>
              <w:spacing w:after="0"/>
              <w:jc w:val="right"/>
            </w:pPr>
            <w:r>
              <w:t xml:space="preserve">-0.16 [-0.36,  0.04]</w:t>
            </w:r>
          </w:p>
        </w:tc>
      </w:tr>
      <w:tr>
        <w:tc>
          <w:tcPr>
            <w:tcW w:w="2340" w:type="dxa"/>
            <w:tcBorders>
              <w:top w:val="nil" w:color="000000"/>
              <w:left w:val="nil" w:color="000000"/>
              <w:bottom w:val="nil" w:color="000000"/>
              <w:right w:val="single" w:color="000000"/>
            </w:tcBorders>
            <w:vAlign w:val="bottom"/>
          </w:tcPr>
          <w:p>
            <w:pPr>
              <w:spacing w:after="0"/>
              <w:jc w:val="left"/>
            </w:pPr>
            <w:r>
              <w:t xml:space="preserve">Group means navigator</w:t>
            </w:r>
          </w:p>
        </w:tc>
        <w:tc>
          <w:tcPr>
            <w:tcW w:w="2340" w:type="dxa"/>
            <w:tcBorders>
              <w:top w:val="nil" w:color="000000"/>
              <w:left w:val="single"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No Navigator (low cost)</w:t>
            </w:r>
          </w:p>
        </w:tc>
        <w:tc>
          <w:tcPr>
            <w:tcW w:w="2340" w:type="dxa"/>
            <w:tcBorders>
              <w:top w:val="nil" w:color="000000"/>
              <w:left w:val="single" w:color="000000"/>
              <w:bottom w:val="nil" w:color="000000"/>
              <w:right w:val="nil" w:color="000000"/>
            </w:tcBorders>
            <w:vAlign w:val="bottom"/>
          </w:tcPr>
          <w:p>
            <w:pPr>
              <w:spacing w:after="0"/>
              <w:jc w:val="right"/>
            </w:pPr>
            <w:r>
              <w:t xml:space="preserve">0.03 [0.02,  0.04]</w:t>
            </w:r>
          </w:p>
        </w:tc>
        <w:tc>
          <w:tcPr>
            <w:tcW w:w="2340" w:type="dxa"/>
            <w:tcBorders>
              <w:top w:val="nil" w:color="000000"/>
              <w:left w:val="nil" w:color="000000"/>
              <w:bottom w:val="nil" w:color="000000"/>
              <w:right w:val="nil" w:color="000000"/>
            </w:tcBorders>
            <w:vAlign w:val="bottom"/>
          </w:tcPr>
          <w:p>
            <w:pPr>
              <w:spacing w:after="0"/>
              <w:jc w:val="right"/>
            </w:pPr>
            <w:r>
              <w:t xml:space="preserve">0.20 [0.16,  0.23]</w:t>
            </w:r>
          </w:p>
        </w:tc>
        <w:tc>
          <w:tcPr>
            <w:tcW w:w="2340" w:type="dxa"/>
            <w:tcBorders>
              <w:top w:val="nil" w:color="000000"/>
              <w:left w:val="nil" w:color="000000"/>
              <w:bottom w:val="nil" w:color="000000"/>
              <w:right w:val="nil" w:color="000000"/>
            </w:tcBorders>
            <w:vAlign w:val="bottom"/>
          </w:tcPr>
          <w:p>
            <w:pPr>
              <w:spacing w:after="0"/>
              <w:jc w:val="right"/>
            </w:pPr>
            <w:r>
              <w:t xml:space="preserve">0.12 [-0.05,  0.29]</w:t>
            </w:r>
          </w:p>
        </w:tc>
      </w:tr>
      <w:tr>
        <w:tc>
          <w:tcPr>
            <w:tcW w:w="2340" w:type="dxa"/>
            <w:tcBorders>
              <w:top w:val="nil" w:color="000000"/>
              <w:left w:val="nil" w:color="000000"/>
              <w:bottom w:val="nil" w:color="000000"/>
              <w:right w:val="single" w:color="000000"/>
            </w:tcBorders>
            <w:vAlign w:val="bottom"/>
          </w:tcPr>
          <w:p>
            <w:pPr>
              <w:spacing w:after="0"/>
              <w:jc w:val="left"/>
            </w:pPr>
            <w:r>
              <w:t xml:space="preserve">  Navigator (low-cost)</w:t>
            </w:r>
          </w:p>
        </w:tc>
        <w:tc>
          <w:tcPr>
            <w:tcW w:w="2340" w:type="dxa"/>
            <w:tcBorders>
              <w:top w:val="nil" w:color="000000"/>
              <w:left w:val="single" w:color="000000"/>
              <w:bottom w:val="nil" w:color="000000"/>
              <w:right w:val="nil" w:color="000000"/>
            </w:tcBorders>
            <w:vAlign w:val="bottom"/>
          </w:tcPr>
          <w:p>
            <w:pPr>
              <w:spacing w:after="0"/>
              <w:jc w:val="right"/>
            </w:pPr>
            <w:r>
              <w:t xml:space="preserve">0.04 [0.03,  0.06]</w:t>
            </w:r>
          </w:p>
        </w:tc>
        <w:tc>
          <w:tcPr>
            <w:tcW w:w="2340" w:type="dxa"/>
            <w:tcBorders>
              <w:top w:val="nil" w:color="000000"/>
              <w:left w:val="nil" w:color="000000"/>
              <w:bottom w:val="nil" w:color="000000"/>
              <w:right w:val="nil" w:color="000000"/>
            </w:tcBorders>
            <w:vAlign w:val="bottom"/>
          </w:tcPr>
          <w:p>
            <w:pPr>
              <w:spacing w:after="0"/>
              <w:jc w:val="right"/>
            </w:pPr>
            <w:r>
              <w:t xml:space="preserve">0.17 [0.14,  0.21]</w:t>
            </w:r>
          </w:p>
        </w:tc>
        <w:tc>
          <w:tcPr>
            <w:tcW w:w="2340" w:type="dxa"/>
            <w:tcBorders>
              <w:top w:val="nil" w:color="000000"/>
              <w:left w:val="nil" w:color="000000"/>
              <w:bottom w:val="nil" w:color="000000"/>
              <w:right w:val="nil" w:color="000000"/>
            </w:tcBorders>
            <w:vAlign w:val="bottom"/>
          </w:tcPr>
          <w:p>
            <w:pPr>
              <w:spacing w:after="0"/>
              <w:jc w:val="right"/>
            </w:pPr>
            <w:r>
              <w:t xml:space="preserve">0.05 [-0.13,  0.22]</w:t>
            </w:r>
          </w:p>
        </w:tc>
      </w:tr>
      <w:tr>
        <w:tc>
          <w:tcPr>
            <w:tcW w:w="2340" w:type="dxa"/>
            <w:tcBorders>
              <w:top w:val="nil" w:color="000000"/>
              <w:left w:val="nil" w:color="000000"/>
              <w:bottom w:val="nil" w:color="000000"/>
              <w:right w:val="single" w:color="000000"/>
            </w:tcBorders>
            <w:vAlign w:val="bottom"/>
          </w:tcPr>
          <w:p>
            <w:pPr>
              <w:spacing w:after="0"/>
              <w:jc w:val="left"/>
            </w:pPr>
            <w:r>
              <w:t xml:space="preserve">Difference (navigator)</w:t>
            </w:r>
          </w:p>
        </w:tc>
        <w:tc>
          <w:tcPr>
            <w:tcW w:w="2340" w:type="dxa"/>
            <w:tcBorders>
              <w:top w:val="nil" w:color="000000"/>
              <w:left w:val="single"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Navigator vs none</w:t>
            </w:r>
          </w:p>
        </w:tc>
        <w:tc>
          <w:tcPr>
            <w:tcW w:w="2340" w:type="dxa"/>
            <w:tcBorders>
              <w:top w:val="nil" w:color="000000"/>
              <w:left w:val="single" w:color="000000"/>
              <w:bottom w:val="nil" w:color="000000"/>
              <w:right w:val="nil" w:color="000000"/>
            </w:tcBorders>
            <w:vAlign w:val="bottom"/>
          </w:tcPr>
          <w:p>
            <w:pPr>
              <w:spacing w:after="0"/>
              <w:jc w:val="right"/>
            </w:pPr>
            <w:r>
              <w:t xml:space="preserve">0.01 [-0.01,  0.02]</w:t>
            </w:r>
          </w:p>
        </w:tc>
        <w:tc>
          <w:tcPr>
            <w:tcW w:w="2340" w:type="dxa"/>
            <w:tcBorders>
              <w:top w:val="nil" w:color="000000"/>
              <w:left w:val="nil" w:color="000000"/>
              <w:bottom w:val="nil" w:color="000000"/>
              <w:right w:val="nil" w:color="000000"/>
            </w:tcBorders>
            <w:vAlign w:val="bottom"/>
          </w:tcPr>
          <w:p>
            <w:pPr>
              <w:spacing w:after="0"/>
              <w:jc w:val="right"/>
            </w:pPr>
            <w:r>
              <w:t xml:space="preserve">-0.02 [-0.06,  0.02]</w:t>
            </w:r>
          </w:p>
        </w:tc>
        <w:tc>
          <w:tcPr>
            <w:tcW w:w="2340" w:type="dxa"/>
            <w:tcBorders>
              <w:top w:val="nil" w:color="000000"/>
              <w:left w:val="nil" w:color="000000"/>
              <w:bottom w:val="nil" w:color="000000"/>
              <w:right w:val="nil" w:color="000000"/>
            </w:tcBorders>
            <w:vAlign w:val="bottom"/>
          </w:tcPr>
          <w:p>
            <w:pPr>
              <w:spacing w:after="0"/>
              <w:jc w:val="right"/>
            </w:pPr>
            <w:r>
              <w:t xml:space="preserve">-0.07 [-0.27,  0.13]</w:t>
            </w:r>
          </w:p>
        </w:tc>
      </w:tr>
      <w:tr>
        <w:tc>
          <w:tcPr>
            <w:tcW w:w="2340" w:type="dxa"/>
            <w:tcBorders>
              <w:top w:val="nil" w:color="000000"/>
              <w:left w:val="nil" w:color="000000"/>
              <w:bottom w:val="nil" w:color="000000"/>
              <w:right w:val="single" w:color="000000"/>
            </w:tcBorders>
            <w:vAlign w:val="bottom"/>
          </w:tcPr>
          <w:p>
            <w:pPr>
              <w:spacing w:after="0"/>
              <w:jc w:val="left"/>
            </w:pPr>
            <w:r>
              <w:t xml:space="preserve">Number of index patients</w:t>
            </w:r>
          </w:p>
        </w:tc>
        <w:tc>
          <w:tcPr>
            <w:tcW w:w="2340" w:type="dxa"/>
            <w:tcBorders>
              <w:top w:val="nil" w:color="000000"/>
              <w:left w:val="single" w:color="000000"/>
              <w:bottom w:val="nil" w:color="000000"/>
              <w:right w:val="nil" w:color="000000"/>
            </w:tcBorders>
            <w:vAlign w:val="bottom"/>
          </w:tcPr>
          <w:p>
            <w:pPr>
              <w:spacing w:after="0"/>
              <w:jc w:val="right"/>
            </w:pPr>
            <w:r>
              <w:t xml:space="preserve">414</w:t>
            </w:r>
          </w:p>
        </w:tc>
        <w:tc>
          <w:tcPr>
            <w:tcW w:w="2340" w:type="dxa"/>
            <w:tcBorders>
              <w:top w:val="nil" w:color="000000"/>
              <w:left w:val="nil" w:color="000000"/>
              <w:bottom w:val="nil" w:color="000000"/>
              <w:right w:val="nil" w:color="000000"/>
            </w:tcBorders>
            <w:vAlign w:val="bottom"/>
          </w:tcPr>
          <w:p>
            <w:pPr>
              <w:spacing w:after="0"/>
              <w:jc w:val="right"/>
            </w:pPr>
            <w:r>
              <w:t xml:space="preserve">414</w:t>
            </w:r>
          </w:p>
        </w:tc>
        <w:tc>
          <w:tcPr>
            <w:tcW w:w="2340" w:type="dxa"/>
            <w:tcBorders>
              <w:top w:val="nil" w:color="000000"/>
              <w:left w:val="nil" w:color="000000"/>
              <w:bottom w:val="nil" w:color="000000"/>
              <w:right w:val="nil" w:color="000000"/>
            </w:tcBorders>
            <w:vAlign w:val="bottom"/>
          </w:tcPr>
          <w:p>
            <w:pPr>
              <w:spacing w:after="0"/>
              <w:jc w:val="right"/>
            </w:pPr>
            <w:r>
              <w:t xml:space="preserve">262</w:t>
            </w:r>
          </w:p>
        </w:tc>
      </w:tr>
      <w:tr>
        <w:tc>
          <w:tcPr>
            <w:tcW w:w="2340" w:type="dxa"/>
            <w:tcBorders>
              <w:top w:val="nil" w:color="000000"/>
              <w:left w:val="nil" w:color="000000"/>
              <w:bottom w:val="single" w:color="000000"/>
              <w:right w:val="single" w:color="000000"/>
            </w:tcBorders>
            <w:vAlign w:val="bottom"/>
          </w:tcPr>
          <w:p>
            <w:pPr>
              <w:spacing w:after="0"/>
              <w:jc w:val="left"/>
            </w:pPr>
            <w:r>
              <w:t xml:space="preserve">Number of relatives</w:t>
            </w:r>
          </w:p>
        </w:tc>
        <w:tc>
          <w:tcPr>
            <w:tcW w:w="2340" w:type="dxa"/>
            <w:tcBorders>
              <w:top w:val="nil" w:color="000000"/>
              <w:left w:val="single" w:color="000000"/>
              <w:bottom w:val="single" w:color="000000"/>
              <w:right w:val="nil" w:color="000000"/>
            </w:tcBorders>
            <w:vAlign w:val="bottom"/>
          </w:tcPr>
          <w:p>
            <w:pPr>
              <w:spacing w:after="0"/>
              <w:jc w:val="right"/>
            </w:pPr>
            <w:r>
              <w:t xml:space="preserve">4946</w:t>
            </w:r>
          </w:p>
        </w:tc>
        <w:tc>
          <w:tcPr>
            <w:tcW w:w="2340" w:type="dxa"/>
            <w:tcBorders>
              <w:top w:val="nil" w:color="000000"/>
              <w:left w:val="nil" w:color="000000"/>
              <w:bottom w:val="single" w:color="000000"/>
              <w:right w:val="nil" w:color="000000"/>
            </w:tcBorders>
            <w:vAlign w:val="bottom"/>
          </w:tcPr>
          <w:p>
            <w:pPr>
              <w:spacing w:after="0"/>
              <w:jc w:val="right"/>
            </w:pPr>
            <w:r>
              <w:t xml:space="preserve">4946</w:t>
            </w:r>
          </w:p>
        </w:tc>
        <w:tc>
          <w:tcPr>
            <w:tcW w:w="2340" w:type="dxa"/>
            <w:tcBorders>
              <w:top w:val="nil" w:color="000000"/>
              <w:left w:val="nil" w:color="000000"/>
              <w:bottom w:val="single" w:color="000000"/>
              <w:right w:val="nil" w:color="000000"/>
            </w:tcBorders>
          </w:tcPr>
          <w:p>
            <w:pPr>
              <w:spacing w:after="0"/>
            </w:pPr>
          </w:p>
        </w:tc>
      </w:tr>
      <w:tr>
        <w:tc>
          <w:tcPr>
            <w:gridSpan w:val="4"/>
            <w:tcBorders>
              <w:top w:val="single" w:color="000000"/>
              <w:left w:val="nil" w:color="000000"/>
              <w:bottom w:val="nil" w:color="000000"/>
              <w:right w:val="nil" w:color="000000"/>
            </w:tcBorders>
          </w:tcPr>
          <w:p>
            <w:pPr>
              <w:spacing w:after="0" w:lineRule="auto"/>
            </w:pPr>
            <w:r>
              <w:t xml:space="preserve">The three outcomes (one primary and two secondary) are shown in the three columns of the table.  In the rows we report the summary of the outcome for each group (the first two rows for each of the two interventions in sequence).  The row labeled difference presents the contrast between the groups as the risk difference.  For the continuous communication outcome, the contrast is presented as a difference in means.</w:t>
              <w:br w:type="textWrapping"/>
            </w:r>
            <w:r>
              <w:t xml:space="preserve">1. The testing and invitation outcomes were assessed at the relative level with relatives clustered within index patients in multilevel models</w:t>
              <w:br w:type="textWrapping"/>
            </w:r>
            <w:r>
              <w:t xml:space="preserve">2. The comfort with communication outcome was assessed for index patients who responded to a survey 6 months after the intervention and results are presented in units of standard deviations of the scale.</w:t>
              <w:br w:type="textWrapping"/>
            </w:r>
            <w:r>
              <w:t xml:space="preserve">3. All effects are predicted outcomes averaged over the distribution of the pre-specified covariates for each regression and also averaged over the family effects for the multilevel models.</w:t>
            </w:r>
          </w:p>
        </w:tc>
      </w:tr>
    </w:tbl>
    <w:p>
      <w:r>
        <w:t/>
      </w:r>
    </w:p>
    <w:sectPr>
      <w:pgSz w:w="12240" w:h="15840" w:code="1"/>
      <w:pgMar w:top="1440" w:right="1440" w:bottom="1440"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