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1. Intervention and control group means and differences for primary and secondary outcomes</w:t>
            </w:r>
          </w:p>
        </w:tc>
      </w:tr>
      <w:tr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Relatives tested (primary)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Relatives invited (secondary)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Communication (secondary)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Proportion [95% CI]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Proportion [95% CI]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Proportion [95% CI]</w:t>
            </w:r>
          </w:p>
        </w:tc>
      </w:tr>
      <w:tr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Group means cost</w:t>
            </w:r>
          </w:p>
        </w:tc>
        <w:tc>
          <w:tcPr>
            <w:tcW w:w="234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Low-cost (no navigator)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 [0.02,  0.04]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 [0.16,  0.23]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 [-0.05,  0.29]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Free (no navigator)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 [0.05,  0.09]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0.23 [0.19,  0.27]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-0.04 [-0.22,  0.14]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Difference (cost)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Free vs low-cost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 [0.02,  0.05]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 [-0.01,  0.08]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-0.16 [-0.36,  0.04]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Group means navigator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 Navigator (low cost)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 [0.02,  0.04]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 [0.16,  0.23]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 [-0.05,  0.29]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Navigator (low-cost)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 [0.03,  0.06]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 [0.14,  0.21]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 [-0.13,  0.22]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Difference (navigator)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Navigator vs none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 [-0.01,  0.02]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-0.02 [-0.06,  0.02]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-0.07 [-0.27,  0.13]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index patients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262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relatives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4946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4946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1. The testing and invitation outcomes were assessed at the relative level with relatives clustered within index patients in multilevel models</w:t>
              <w:br w:type="textWrapping"/>
            </w:r>
            <w:r>
              <w:t xml:space="preserve">2. The comfort with communication outcome was assessed for index patients who responded to a survey 6 months after the intervention and results are presented in units of standard deviations of the scale.</w:t>
              <w:br w:type="textWrapping"/>
            </w:r>
            <w:r>
              <w:t xml:space="preserve">3. All effects are predicted outcomes averaged over the distribution of the pre-specified covariates for each regression and also averaged over the family effects for the multilevel models.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