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Arquitectura Técnica - Módulo Backend Core</w:t>
      </w:r>
    </w:p>
    <w:p>
      <w:pPr>
        <w:pStyle w:val="Heading2"/>
      </w:pPr>
      <w:r>
        <w:t>1. Propósito del Módulo</w:t>
      </w:r>
    </w:p>
    <w:p>
      <w:r>
        <w:t>El módulo `backend` constituye el núcleo funcional y arquitectónico del sistema, sirviendo como base para los módulos específicos de negocio (por ejemplo, usuarios, pedidos, pagos, etc.). Está construido con Kotlin utilizando el framework Ktor, y soporta despliegue tanto embebido como serverless.</w:t>
      </w:r>
    </w:p>
    <w:p>
      <w:pPr>
        <w:pStyle w:val="Heading2"/>
      </w:pPr>
      <w:r>
        <w:t>2. Tecnologías y Frameworks</w:t>
      </w:r>
    </w:p>
    <w:p>
      <w:r>
        <w:t>- Ktor: Framework principal para la construcción del servidor HTTP y APIs.</w:t>
      </w:r>
    </w:p>
    <w:p>
      <w:r>
        <w:t>- Kodein DI: Sistema de inyección de dependencias utilizado para registrar e inyectar funciones de negocio.</w:t>
      </w:r>
    </w:p>
    <w:p>
      <w:r>
        <w:t>- Gson: Serialización/deserialización de objetos JSON.</w:t>
      </w:r>
    </w:p>
    <w:p>
      <w:r>
        <w:t>- AWS Cognito: Utilizado para validación de tokens JWT.</w:t>
      </w:r>
    </w:p>
    <w:p>
      <w:r>
        <w:t>- AWS Lambda: Permite ejecutar el backend como funciones serverless.</w:t>
      </w:r>
    </w:p>
    <w:p>
      <w:r>
        <w:t>- RateLimiter (TokenBucket): Límite de tasa de peticiones por usuario.</w:t>
      </w:r>
    </w:p>
    <w:p>
      <w:pPr>
        <w:pStyle w:val="Heading2"/>
      </w:pPr>
      <w:r>
        <w:t>3. Componentes Principales</w:t>
      </w:r>
    </w:p>
    <w:p>
      <w:r>
        <w:t>- Application.kt:</w:t>
      </w:r>
    </w:p>
    <w:p>
      <w:r>
        <w:t xml:space="preserve">  - Inicializa el servidor embebido (Netty).</w:t>
      </w:r>
    </w:p>
    <w:p>
      <w:r>
        <w:t xml:space="preserve">  - Instala RateLimiting para prevenir abuso.</w:t>
      </w:r>
    </w:p>
    <w:p>
      <w:r>
        <w:t xml:space="preserve">  - Configura la inyección de dependencias con Kodein.</w:t>
      </w:r>
    </w:p>
    <w:p>
      <w:r>
        <w:t xml:space="preserve">  - Expone la ruta POST /business/function que despacha llamadas a funciones registradas en el contenedor DI.</w:t>
      </w:r>
    </w:p>
    <w:p/>
    <w:p>
      <w:r>
        <w:t>- Ruteo Dinámico de Funciones:</w:t>
      </w:r>
    </w:p>
    <w:p>
      <w:r>
        <w:t xml:space="preserve">  - Las funciones se registran con un tag dentro de Kodein.</w:t>
      </w:r>
    </w:p>
    <w:p>
      <w:r>
        <w:t xml:space="preserve">  - Se determina la función desde la URL y se instancia mediante DI.</w:t>
      </w:r>
    </w:p>
    <w:p/>
    <w:p>
      <w:r>
        <w:t>- Function &amp; SecuredFunction:</w:t>
      </w:r>
    </w:p>
    <w:p>
      <w:r>
        <w:t xml:space="preserve">  - Function es una interfaz genérica.</w:t>
      </w:r>
    </w:p>
    <w:p>
      <w:r>
        <w:t xml:space="preserve">  - SecuredFunction extiende Function y valida tokens JWT.</w:t>
      </w:r>
    </w:p>
    <w:p/>
    <w:p>
      <w:r>
        <w:t>- LambdaRequestHandler:</w:t>
      </w:r>
    </w:p>
    <w:p>
      <w:r>
        <w:t xml:space="preserve">  - Permite reutilizar la lógica de funciones en AWS Lambda.</w:t>
      </w:r>
    </w:p>
    <w:p/>
    <w:p>
      <w:r>
        <w:t>- Request y Response:</w:t>
      </w:r>
    </w:p>
    <w:p>
      <w:r>
        <w:t xml:space="preserve">  - Clases genéricas base para entrada y salida de datos.</w:t>
      </w:r>
    </w:p>
    <w:p/>
    <w:p>
      <w:r>
        <w:t>- Excepciones Personalizadas:</w:t>
      </w:r>
    </w:p>
    <w:p>
      <w:r>
        <w:t xml:space="preserve">  - RequestValidationException, UnauthorizedException, ExceptionResponse, etc.</w:t>
      </w:r>
    </w:p>
    <w:p>
      <w:pPr>
        <w:pStyle w:val="Heading2"/>
      </w:pPr>
      <w:r>
        <w:t>4. Ejecución en Ambientes</w:t>
      </w:r>
    </w:p>
    <w:p>
      <w:r>
        <w:t>- Modo Local / Embebido:</w:t>
      </w:r>
    </w:p>
    <w:p>
      <w:r>
        <w:t xml:space="preserve">  - Utiliza embeddedServer(Netty).</w:t>
      </w:r>
    </w:p>
    <w:p>
      <w:r>
        <w:t>- Modo AWS Lambda:</w:t>
      </w:r>
    </w:p>
    <w:p>
      <w:r>
        <w:t xml:space="preserve">  - Ejecuta LambdaRequestHandler con DI.</w:t>
      </w:r>
    </w:p>
    <w:p>
      <w:r>
        <w:t xml:space="preserve">  - Decodifica el body Base64 y expone cabeceras para CORS.</w:t>
      </w:r>
    </w:p>
    <w:p>
      <w:pPr>
        <w:pStyle w:val="Heading2"/>
      </w:pPr>
      <w:r>
        <w:t>5. Patrón de Modularización</w:t>
      </w:r>
    </w:p>
    <w:p>
      <w:r>
        <w:t>Este backend actúa como una superclase funcional. Los módulos de negocio importan este backend y registran sus propias funciones bajo nombres específicos, permitiendo:</w:t>
      </w:r>
    </w:p>
    <w:p>
      <w:r>
        <w:t>- Reutilización de lógica común.</w:t>
      </w:r>
    </w:p>
    <w:p>
      <w:r>
        <w:t>- Separación de responsabilidades.</w:t>
      </w:r>
    </w:p>
    <w:p>
      <w:r>
        <w:t>- Escalabilidad horizontal por servicio.</w:t>
      </w:r>
    </w:p>
    <w:p>
      <w:pPr>
        <w:pStyle w:val="Heading2"/>
      </w:pPr>
      <w:r>
        <w:t>6. Diagrama de interacción de componentes</w:t>
      </w:r>
    </w:p>
    <w:p>
      <w:r>
        <w:t>La siguiente imagen ilustra el flujo de interacción entre los componentes clave del backend:</w:t>
      </w:r>
    </w:p>
    <w:p>
      <w:r>
        <w:drawing>
          <wp:inline xmlns:a="http://schemas.openxmlformats.org/drawingml/2006/main" xmlns:pic="http://schemas.openxmlformats.org/drawingml/2006/picture">
            <wp:extent cx="5029200" cy="69375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en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3751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