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Documento de Arquitectura Técnica - Módulo Backend Core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Propósito del Módulo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módulo `backend` constituye el núcleo funcional y arquitectónico del sistema, sirviendo como base para los módulos específicos de negocio (por ejemplo, usuarios, pedidos, pagos, etc.). Está construido con Kotlin utilizando el framework Ktor, y soporta despliegue tanto embebido como serverless.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2. Tecnologías y Frameworks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Ktor: Framework principal para la construcción del servidor HTTP y APIs.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Kodein DI: Sistema de inyección de dependencias utilizado para registrar e inyectar funciones de negocio.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Gson: Serialización/deserialización de objetos JSON.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AWS Cognito: Utilizado para validación de tokens JWT.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AWS Lambda: Permite ejecutar el backend como funciones serverless.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RateLimiter (TokenBucket): Límite de tasa de peticiones por usuario.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3. Componentes Principales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Application.kt: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Inicializa el servidor embebido (Netty).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Instala RateLimiting para prevenir abuso.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Configura la inyección de dependencias con Kodein.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Expone la ruta POST “</w:t>
      </w:r>
      <w:r w:rsidDel="00000000" w:rsidR="00000000" w:rsidRPr="00000000">
        <w:rPr>
          <w:rtl w:val="0"/>
        </w:rPr>
        <w:t xml:space="preserve">/{business}/{function}”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que despacha llamadas a funciones registradas en el contenedor DI.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Donde {business} es el nombre de un negocio que tiene que haber sido dado de alta previamente en la aplicacion con el endpoint correspondiente, y function es el nombre declarado para la funcion dinamica que atendera el request en el module de Kodein.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Por ejemplo, la siguiente declaracion del module disponibiliza la funcion “signup” que para ser invocada debe coincidir con el parametro {function} de la ruta que se expone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&lt;Function&gt; (</w:t>
      </w:r>
      <w:r w:rsidDel="00000000" w:rsidR="00000000" w:rsidRPr="00000000">
        <w:rPr>
          <w:rFonts w:ascii="Courier New" w:cs="Courier New" w:eastAsia="Courier New" w:hAnsi="Courier New"/>
          <w:color w:val="56c1d6"/>
          <w:sz w:val="20"/>
          <w:szCs w:val="20"/>
          <w:rtl w:val="0"/>
        </w:rPr>
        <w:t xml:space="preserve">tag=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"signup"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singleton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SignUp(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En definitiva, la ruta dinamica “</w:t>
      </w:r>
      <w:r w:rsidDel="00000000" w:rsidR="00000000" w:rsidRPr="00000000">
        <w:rPr>
          <w:rtl w:val="0"/>
        </w:rPr>
        <w:t xml:space="preserve">/{business}/{function}” expondra tantos endpoints como declaraciones de funciones existan en el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Ruteo Dinámico de Funciones: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Las funciones se registran con un tag dentro de Kodein.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Se determina la función desde la URL y se instancia mediante DI.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Function &amp; SecuredFunction: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Function es una interfaz genérica que obliga a la implementacion de una nueva funcion / endpoint en la aplicacion. Para su ejecucion se invoca al metodo “execute”.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SecuredFunction extiende Function y valida tokens JWT. Busca en </w:t>
      </w:r>
      <w:r w:rsidDel="00000000" w:rsidR="00000000" w:rsidRPr="00000000">
        <w:rPr>
          <w:rtl w:val="0"/>
        </w:rPr>
        <w:t xml:space="preserve">headers[</w:t>
      </w:r>
      <w:r w:rsidDel="00000000" w:rsidR="00000000" w:rsidRPr="00000000">
        <w:rPr>
          <w:rtl w:val="0"/>
        </w:rPr>
        <w:t xml:space="preserve">"Authorization"</w:t>
      </w:r>
      <w:r w:rsidDel="00000000" w:rsidR="00000000" w:rsidRPr="00000000">
        <w:rPr>
          <w:rtl w:val="0"/>
        </w:rPr>
        <w:t xml:space="preserve">]la existencia de un token valido para permitir continuar con la ejecucion. Para su ejecucion se invoca a execute al igual que Function.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LambdaRequestHandler: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Permite reutilizar la lógica de funciones en AWS Lambda. Y la implementacion del ruteo es similar a Application con rutas dinamicas del estilo “/{business}/{function}”.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Request y Response: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Clases genéricas base para entrada y salida de datos. Considerar que ambas son heredadas por las clases que quieren exponer la interfaz / mensaje de comunicación para funciones / enpoints que sean declarados dinámicamente en el module.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Para saber cual es el request que pertenece a una determinada funcion / endpoint se puede revisar por nomenclatura, ya que sera el [nombre de la funcion]Request o se puede revisar las instrucciones de la funcion execute, en sus primeras lineas tendran alguna instruccion como esta de ejemplo: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Gson().fromJson(textBody, ar.com.intrale.SignUpRequest::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Donde el primer parametro es el request en formato String, y el segundo parametro es la estructura o interfaz de nuestro request.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Cuando querramos saber que retorna nuestra funcion / endpoint tendremos que revisar los return de la funcion execute para tener claro los Response o clases que heredan de response.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esta manera se puede obtener claramente rutas expuestas dinamicamente, funciones que atienden esas rutas dinamicas y relacion entre estas (mapeos) e interfaces de comunicacion para cada una de ellas tanto request como response.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Excepciones Personalizadas: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RequestValidationException, UnauthorizedException, ExceptionResponse, etc.</w:t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4. Ejecución en Ambientes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Modo Local / Embebido: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Utiliza embeddedServer(Netty).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Modo AWS Lambda: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Ejecuta LambdaRequestHandler con DI.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Decodifica el body Base64 y expone cabeceras para CORS.</w:t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5. Patrón de Modularización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Este backend actúa como una superclase funcional. Los módulos de negocio importan este backend y registran sus propias funciones bajo nombres específicos, permitiendo: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Reutilización de lógica común.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Separación de responsabilidades.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Escalabilidad horizontal por servicio.</w:t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6. Diagrama de interacción de componentes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La siguiente imagen ilustra el flujo de interacción entre los componentes clave del backend: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114300" distR="114300">
            <wp:extent cx="5029200" cy="693751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93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JKWlRgqHbdLIJGKilVC1ScpvrA==">CgMxLjA4AHIhMUI3SERPTE1wcnFIQjFSNTFHcFo2THVIeXQ3azlFb2VX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