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D6CF4" w14:textId="77777777" w:rsidR="00A26C78" w:rsidRDefault="00A26C78" w:rsidP="00A26C78">
      <w:pPr>
        <w:rPr>
          <w:rFonts w:ascii="Arial" w:hAnsi="Arial" w:cs="Arial"/>
          <w:b/>
          <w:sz w:val="22"/>
          <w:szCs w:val="22"/>
        </w:rPr>
      </w:pPr>
      <w:bookmarkStart w:id="0" w:name="_GoBack"/>
      <w:bookmarkEnd w:id="0"/>
    </w:p>
    <w:p w14:paraId="37D9AF8C" w14:textId="77777777" w:rsidR="00A26C78" w:rsidRDefault="00A26C78" w:rsidP="00A26C78">
      <w:pPr>
        <w:jc w:val="right"/>
        <w:rPr>
          <w:rFonts w:ascii="Adobe Caslon Pro" w:hAnsi="Adobe Caslon Pro" w:cs="Arial"/>
          <w:color w:val="000000" w:themeColor="text1"/>
          <w:sz w:val="20"/>
          <w:szCs w:val="20"/>
        </w:rPr>
      </w:pPr>
    </w:p>
    <w:p w14:paraId="35305EB5" w14:textId="77777777" w:rsidR="00A26C78" w:rsidRDefault="00A26C78" w:rsidP="00A26C78">
      <w:pPr>
        <w:rPr>
          <w:rFonts w:ascii="Montserrat Regular" w:hAnsi="Montserrat Regular" w:cs="Arial"/>
          <w:sz w:val="22"/>
          <w:szCs w:val="22"/>
        </w:rPr>
      </w:pPr>
      <w:r w:rsidRPr="003D7249">
        <w:rPr>
          <w:rFonts w:ascii="Montserrat Regular" w:hAnsi="Montserrat Regular" w:cs="Arial"/>
          <w:sz w:val="22"/>
          <w:szCs w:val="22"/>
        </w:rPr>
        <w:t xml:space="preserve">Ciudad de México, </w:t>
      </w:r>
      <w:r>
        <w:rPr>
          <w:rFonts w:ascii="Montserrat Regular" w:hAnsi="Montserrat Regular" w:cs="Arial"/>
          <w:sz w:val="22"/>
          <w:szCs w:val="22"/>
        </w:rPr>
        <w:t>18</w:t>
      </w:r>
      <w:r w:rsidRPr="003D7249">
        <w:rPr>
          <w:rFonts w:ascii="Montserrat Regular" w:hAnsi="Montserrat Regular" w:cs="Arial"/>
          <w:sz w:val="22"/>
          <w:szCs w:val="22"/>
        </w:rPr>
        <w:t xml:space="preserve"> de Febrero de 2019</w:t>
      </w:r>
    </w:p>
    <w:p w14:paraId="1BAE1F39" w14:textId="77777777" w:rsidR="00A26C78" w:rsidRPr="00D42A77" w:rsidRDefault="00A26C78" w:rsidP="00A26C78">
      <w:pPr>
        <w:rPr>
          <w:rFonts w:ascii="Montserrat Regular" w:hAnsi="Montserrat Regular" w:cs="Arial"/>
          <w:sz w:val="22"/>
          <w:szCs w:val="22"/>
        </w:rPr>
      </w:pPr>
    </w:p>
    <w:p w14:paraId="01F07C8B" w14:textId="77777777" w:rsidR="00A26C78" w:rsidRPr="00D42A77" w:rsidRDefault="00A26C78" w:rsidP="00A26C78">
      <w:pPr>
        <w:autoSpaceDE w:val="0"/>
        <w:autoSpaceDN w:val="0"/>
        <w:adjustRightInd w:val="0"/>
        <w:rPr>
          <w:rFonts w:ascii="Montserrat Medium" w:hAnsi="Montserrat Medium" w:cs="Georgia"/>
          <w:b/>
          <w:bCs/>
          <w:color w:val="000000"/>
          <w:sz w:val="22"/>
          <w:szCs w:val="22"/>
        </w:rPr>
      </w:pPr>
    </w:p>
    <w:p w14:paraId="01E681C5" w14:textId="77777777" w:rsidR="00A26C78" w:rsidRDefault="00A26C78" w:rsidP="00A26C78">
      <w:pPr>
        <w:autoSpaceDE w:val="0"/>
        <w:autoSpaceDN w:val="0"/>
        <w:adjustRightInd w:val="0"/>
        <w:rPr>
          <w:rFonts w:ascii="Montserrat Medium" w:hAnsi="Montserrat Medium" w:cs="Georgia"/>
          <w:b/>
          <w:bCs/>
          <w:color w:val="000000"/>
          <w:sz w:val="22"/>
          <w:szCs w:val="22"/>
        </w:rPr>
      </w:pPr>
      <w:r w:rsidRPr="00D42A77">
        <w:rPr>
          <w:rFonts w:ascii="Montserrat Medium" w:hAnsi="Montserrat Medium" w:cs="Georgia"/>
          <w:b/>
          <w:bCs/>
          <w:color w:val="000000"/>
          <w:sz w:val="22"/>
          <w:szCs w:val="22"/>
        </w:rPr>
        <w:t>C. (Nombre y cargo del Titular del área)</w:t>
      </w:r>
    </w:p>
    <w:p w14:paraId="030D0890" w14:textId="77777777" w:rsidR="00A26C78" w:rsidRPr="00D42A77" w:rsidRDefault="00A26C78" w:rsidP="00A26C78">
      <w:pPr>
        <w:autoSpaceDE w:val="0"/>
        <w:autoSpaceDN w:val="0"/>
        <w:adjustRightInd w:val="0"/>
        <w:rPr>
          <w:rFonts w:ascii="Montserrat Medium" w:hAnsi="Montserrat Medium" w:cs="Georgia"/>
          <w:b/>
          <w:bCs/>
          <w:color w:val="000000"/>
          <w:sz w:val="22"/>
          <w:szCs w:val="22"/>
        </w:rPr>
      </w:pPr>
    </w:p>
    <w:p w14:paraId="260E23F2" w14:textId="77777777" w:rsidR="00A26C78" w:rsidRPr="00D42A77" w:rsidRDefault="00A26C78" w:rsidP="00A26C78">
      <w:pPr>
        <w:jc w:val="both"/>
        <w:rPr>
          <w:rFonts w:ascii="Montserrat Regular" w:hAnsi="Montserrat Regular" w:cs="Arial"/>
          <w:sz w:val="22"/>
          <w:szCs w:val="22"/>
        </w:rPr>
      </w:pPr>
      <w:r w:rsidRPr="00D42A77">
        <w:rPr>
          <w:rFonts w:ascii="Montserrat Regular" w:hAnsi="Montserrat Regular" w:cs="Arial"/>
          <w:sz w:val="22"/>
          <w:szCs w:val="22"/>
        </w:rPr>
        <w:t>En cumplimiento a lo dispuesto en las “Disposiciones Específicas que regulan los Viáticos y Pasajes para las comisiones en el desempeño de funciones en la Administración Pública Federal”, emitidas en los “LINEAMIENTOS por los que se establecen medidas de austeridad en el gasto de operación en las dependencias y entidades de la Administración Pública Federal”, se presenta el:</w:t>
      </w:r>
    </w:p>
    <w:p w14:paraId="0785D081" w14:textId="77777777" w:rsidR="00A26C78" w:rsidRPr="00F7227F" w:rsidRDefault="00A26C78" w:rsidP="00A26C78">
      <w:pPr>
        <w:rPr>
          <w:rFonts w:ascii="Adobe Caslon Pro" w:hAnsi="Adobe Caslon Pro" w:cs="Arial"/>
          <w:color w:val="000000" w:themeColor="text1"/>
          <w:sz w:val="8"/>
          <w:szCs w:val="8"/>
        </w:rPr>
      </w:pPr>
    </w:p>
    <w:p w14:paraId="339C8A24" w14:textId="77777777" w:rsidR="00A26C78" w:rsidRDefault="00A26C78" w:rsidP="00A26C78">
      <w:pPr>
        <w:autoSpaceDE w:val="0"/>
        <w:autoSpaceDN w:val="0"/>
        <w:adjustRightInd w:val="0"/>
        <w:rPr>
          <w:rFonts w:ascii="Montserrat Medium" w:hAnsi="Montserrat Medium" w:cs="Georgia"/>
          <w:b/>
          <w:bCs/>
          <w:color w:val="000000"/>
          <w:sz w:val="22"/>
          <w:szCs w:val="22"/>
        </w:rPr>
      </w:pPr>
    </w:p>
    <w:p w14:paraId="176C5BCA" w14:textId="77777777" w:rsidR="00A26C78" w:rsidRDefault="00A26C78" w:rsidP="00A26C78">
      <w:pPr>
        <w:autoSpaceDE w:val="0"/>
        <w:autoSpaceDN w:val="0"/>
        <w:adjustRightInd w:val="0"/>
        <w:rPr>
          <w:rFonts w:ascii="Montserrat Medium" w:hAnsi="Montserrat Medium" w:cs="Georgia"/>
          <w:b/>
          <w:bCs/>
          <w:color w:val="000000"/>
          <w:sz w:val="22"/>
          <w:szCs w:val="22"/>
        </w:rPr>
      </w:pPr>
      <w:r w:rsidRPr="00D42A77">
        <w:rPr>
          <w:rFonts w:ascii="Montserrat Medium" w:hAnsi="Montserrat Medium" w:cs="Georgia"/>
          <w:b/>
          <w:bCs/>
          <w:color w:val="000000"/>
          <w:sz w:val="22"/>
          <w:szCs w:val="22"/>
        </w:rPr>
        <w:t>INFORME DE COMISIÓN EN TERRITORIO NACIONAL Y/O EN EL EXTRANJERO</w:t>
      </w:r>
    </w:p>
    <w:p w14:paraId="330A01E7" w14:textId="77777777" w:rsidR="00A26C78" w:rsidRPr="00D42A77" w:rsidRDefault="00A26C78" w:rsidP="00A26C78">
      <w:pPr>
        <w:autoSpaceDE w:val="0"/>
        <w:autoSpaceDN w:val="0"/>
        <w:adjustRightInd w:val="0"/>
        <w:rPr>
          <w:rFonts w:ascii="Montserrat Medium" w:hAnsi="Montserrat Medium" w:cs="Georgia"/>
          <w:b/>
          <w:bCs/>
          <w:color w:val="000000"/>
          <w:sz w:val="22"/>
          <w:szCs w:val="22"/>
        </w:rPr>
      </w:pPr>
    </w:p>
    <w:p w14:paraId="21F7CEE1" w14:textId="77777777" w:rsidR="00A26C78" w:rsidRPr="00F7227F" w:rsidRDefault="00A26C78" w:rsidP="00A26C78">
      <w:pPr>
        <w:jc w:val="center"/>
        <w:rPr>
          <w:rFonts w:ascii="Arial" w:hAnsi="Arial" w:cs="Arial"/>
          <w:color w:val="000000" w:themeColor="text1"/>
          <w:sz w:val="8"/>
          <w:szCs w:val="8"/>
        </w:rPr>
      </w:pPr>
    </w:p>
    <w:tbl>
      <w:tblPr>
        <w:tblStyle w:val="Tablaconcuadrcula"/>
        <w:tblW w:w="0" w:type="auto"/>
        <w:tblInd w:w="38" w:type="dxa"/>
        <w:tblLook w:val="04A0" w:firstRow="1" w:lastRow="0" w:firstColumn="1" w:lastColumn="0" w:noHBand="0" w:noVBand="1"/>
      </w:tblPr>
      <w:tblGrid>
        <w:gridCol w:w="1771"/>
        <w:gridCol w:w="1985"/>
        <w:gridCol w:w="6280"/>
      </w:tblGrid>
      <w:tr w:rsidR="00A26C78" w:rsidRPr="00F0066D" w14:paraId="3332748D" w14:textId="77777777" w:rsidTr="00A26C78">
        <w:tc>
          <w:tcPr>
            <w:tcW w:w="1771" w:type="dxa"/>
            <w:vMerge w:val="restart"/>
            <w:shd w:val="clear" w:color="auto" w:fill="B8CCE4" w:themeFill="accent1" w:themeFillTint="66"/>
            <w:vAlign w:val="center"/>
          </w:tcPr>
          <w:p w14:paraId="3AC8424D" w14:textId="77777777" w:rsidR="00A26C78" w:rsidRPr="00F0066D" w:rsidRDefault="00A26C78" w:rsidP="002236E0">
            <w:pPr>
              <w:spacing w:before="60" w:after="60"/>
              <w:rPr>
                <w:rFonts w:ascii="Adobe Caslon Pro" w:hAnsi="Adobe Caslon Pro" w:cs="Arial"/>
                <w:color w:val="000000" w:themeColor="text1"/>
                <w:sz w:val="20"/>
                <w:szCs w:val="20"/>
              </w:rPr>
            </w:pPr>
            <w:r w:rsidRPr="00A26C78">
              <w:rPr>
                <w:rFonts w:ascii="Montserrat Regular" w:hAnsi="Montserrat Regular" w:cs="Arial"/>
                <w:b/>
                <w:sz w:val="22"/>
                <w:szCs w:val="22"/>
              </w:rPr>
              <w:t>Datos del servidor público que realizó la comisión</w:t>
            </w:r>
            <w:r>
              <w:rPr>
                <w:rFonts w:ascii="Adobe Caslon Pro" w:hAnsi="Adobe Caslon Pro" w:cs="Arial"/>
                <w:b/>
                <w:color w:val="000000" w:themeColor="text1"/>
                <w:sz w:val="20"/>
                <w:szCs w:val="20"/>
              </w:rPr>
              <w:t>:</w:t>
            </w:r>
          </w:p>
        </w:tc>
        <w:tc>
          <w:tcPr>
            <w:tcW w:w="1985" w:type="dxa"/>
          </w:tcPr>
          <w:p w14:paraId="2FA45AC7" w14:textId="77777777" w:rsidR="00A26C78" w:rsidRPr="00F0066D" w:rsidRDefault="00A26C78" w:rsidP="00A26C78">
            <w:pPr>
              <w:spacing w:line="276" w:lineRule="auto"/>
              <w:rPr>
                <w:rFonts w:ascii="Adobe Caslon Pro" w:hAnsi="Adobe Caslon Pro" w:cs="Arial"/>
                <w:color w:val="000000" w:themeColor="text1"/>
                <w:sz w:val="20"/>
                <w:szCs w:val="20"/>
              </w:rPr>
            </w:pPr>
            <w:r w:rsidRPr="00A26C78">
              <w:rPr>
                <w:rFonts w:ascii="Montserrat Regular" w:hAnsi="Montserrat Regular" w:cs="Arial"/>
                <w:sz w:val="22"/>
                <w:szCs w:val="22"/>
              </w:rPr>
              <w:t>Nombre:</w:t>
            </w:r>
            <w:r w:rsidRPr="00F0066D">
              <w:rPr>
                <w:rFonts w:ascii="Adobe Caslon Pro" w:hAnsi="Adobe Caslon Pro" w:cs="Arial"/>
                <w:color w:val="000000" w:themeColor="text1"/>
                <w:sz w:val="20"/>
                <w:szCs w:val="20"/>
              </w:rPr>
              <w:tab/>
            </w:r>
          </w:p>
        </w:tc>
        <w:tc>
          <w:tcPr>
            <w:tcW w:w="6280" w:type="dxa"/>
          </w:tcPr>
          <w:p w14:paraId="4F3B5B82" w14:textId="77777777" w:rsidR="00A26C78" w:rsidRPr="00F0066D" w:rsidRDefault="00A26C78" w:rsidP="002236E0">
            <w:pPr>
              <w:spacing w:before="60" w:after="60"/>
              <w:rPr>
                <w:rFonts w:ascii="Adobe Caslon Pro" w:hAnsi="Adobe Caslon Pro" w:cs="Arial"/>
                <w:color w:val="000000" w:themeColor="text1"/>
                <w:sz w:val="20"/>
                <w:szCs w:val="20"/>
              </w:rPr>
            </w:pPr>
          </w:p>
        </w:tc>
      </w:tr>
      <w:tr w:rsidR="00A26C78" w:rsidRPr="00F0066D" w14:paraId="0793ECC2" w14:textId="77777777" w:rsidTr="00A26C78">
        <w:tc>
          <w:tcPr>
            <w:tcW w:w="1771" w:type="dxa"/>
            <w:vMerge/>
            <w:shd w:val="clear" w:color="auto" w:fill="B8CCE4" w:themeFill="accent1" w:themeFillTint="66"/>
          </w:tcPr>
          <w:p w14:paraId="31AE1566" w14:textId="77777777" w:rsidR="00A26C78" w:rsidRPr="00F0066D" w:rsidRDefault="00A26C78" w:rsidP="002236E0">
            <w:pPr>
              <w:spacing w:before="60" w:after="60"/>
              <w:rPr>
                <w:rFonts w:ascii="Adobe Caslon Pro" w:hAnsi="Adobe Caslon Pro" w:cs="Arial"/>
                <w:color w:val="000000" w:themeColor="text1"/>
                <w:sz w:val="20"/>
                <w:szCs w:val="20"/>
              </w:rPr>
            </w:pPr>
          </w:p>
        </w:tc>
        <w:tc>
          <w:tcPr>
            <w:tcW w:w="1985" w:type="dxa"/>
          </w:tcPr>
          <w:p w14:paraId="7E77AB2A" w14:textId="77777777" w:rsidR="00A26C78" w:rsidRPr="00F0066D" w:rsidRDefault="00A26C78" w:rsidP="00A26C78">
            <w:pPr>
              <w:spacing w:line="276" w:lineRule="auto"/>
              <w:rPr>
                <w:rFonts w:ascii="Adobe Caslon Pro" w:hAnsi="Adobe Caslon Pro" w:cs="Arial"/>
                <w:color w:val="000000" w:themeColor="text1"/>
                <w:sz w:val="20"/>
                <w:szCs w:val="20"/>
              </w:rPr>
            </w:pPr>
            <w:r w:rsidRPr="00A26C78">
              <w:rPr>
                <w:rFonts w:ascii="Montserrat Regular" w:hAnsi="Montserrat Regular" w:cs="Arial"/>
                <w:sz w:val="22"/>
                <w:szCs w:val="22"/>
              </w:rPr>
              <w:t>Cargo:</w:t>
            </w:r>
            <w:r w:rsidRPr="00F0066D">
              <w:rPr>
                <w:rFonts w:ascii="Adobe Caslon Pro" w:hAnsi="Adobe Caslon Pro" w:cs="Arial"/>
                <w:color w:val="000000" w:themeColor="text1"/>
                <w:sz w:val="20"/>
                <w:szCs w:val="20"/>
              </w:rPr>
              <w:t xml:space="preserve"> </w:t>
            </w:r>
          </w:p>
        </w:tc>
        <w:tc>
          <w:tcPr>
            <w:tcW w:w="6280" w:type="dxa"/>
          </w:tcPr>
          <w:p w14:paraId="4FEE648A" w14:textId="77777777" w:rsidR="00A26C78" w:rsidRPr="00F0066D" w:rsidRDefault="00A26C78" w:rsidP="002236E0">
            <w:pPr>
              <w:spacing w:before="60" w:after="60"/>
              <w:rPr>
                <w:rFonts w:ascii="Adobe Caslon Pro" w:hAnsi="Adobe Caslon Pro" w:cs="Arial"/>
                <w:color w:val="000000" w:themeColor="text1"/>
                <w:sz w:val="20"/>
                <w:szCs w:val="20"/>
              </w:rPr>
            </w:pPr>
          </w:p>
        </w:tc>
      </w:tr>
      <w:tr w:rsidR="00A26C78" w:rsidRPr="00F0066D" w14:paraId="6DE886A3" w14:textId="77777777" w:rsidTr="00A26C78">
        <w:tc>
          <w:tcPr>
            <w:tcW w:w="1771" w:type="dxa"/>
            <w:vMerge/>
            <w:shd w:val="clear" w:color="auto" w:fill="B8CCE4" w:themeFill="accent1" w:themeFillTint="66"/>
          </w:tcPr>
          <w:p w14:paraId="50EE9429" w14:textId="77777777" w:rsidR="00A26C78" w:rsidRPr="00F0066D" w:rsidRDefault="00A26C78" w:rsidP="002236E0">
            <w:pPr>
              <w:spacing w:before="60" w:after="60"/>
              <w:rPr>
                <w:rFonts w:ascii="Adobe Caslon Pro" w:hAnsi="Adobe Caslon Pro" w:cs="Arial"/>
                <w:color w:val="000000" w:themeColor="text1"/>
                <w:sz w:val="20"/>
                <w:szCs w:val="20"/>
              </w:rPr>
            </w:pPr>
          </w:p>
        </w:tc>
        <w:tc>
          <w:tcPr>
            <w:tcW w:w="1985" w:type="dxa"/>
          </w:tcPr>
          <w:p w14:paraId="6BB6BFE2" w14:textId="77777777" w:rsidR="00A26C78" w:rsidRPr="00F0066D" w:rsidRDefault="00A26C78" w:rsidP="00A26C78">
            <w:pPr>
              <w:spacing w:line="276" w:lineRule="auto"/>
              <w:rPr>
                <w:rFonts w:ascii="Adobe Caslon Pro" w:hAnsi="Adobe Caslon Pro" w:cs="Arial"/>
                <w:color w:val="000000" w:themeColor="text1"/>
                <w:sz w:val="20"/>
                <w:szCs w:val="20"/>
              </w:rPr>
            </w:pPr>
            <w:r w:rsidRPr="00A26C78">
              <w:rPr>
                <w:rFonts w:ascii="Montserrat Regular" w:hAnsi="Montserrat Regular" w:cs="Arial"/>
                <w:sz w:val="22"/>
                <w:szCs w:val="22"/>
              </w:rPr>
              <w:t>Área de adscripción:</w:t>
            </w:r>
            <w:r w:rsidRPr="00F0066D">
              <w:rPr>
                <w:rFonts w:ascii="Adobe Caslon Pro" w:hAnsi="Adobe Caslon Pro" w:cs="Arial"/>
                <w:color w:val="000000" w:themeColor="text1"/>
                <w:sz w:val="20"/>
                <w:szCs w:val="20"/>
              </w:rPr>
              <w:t xml:space="preserve"> </w:t>
            </w:r>
          </w:p>
        </w:tc>
        <w:tc>
          <w:tcPr>
            <w:tcW w:w="6280" w:type="dxa"/>
          </w:tcPr>
          <w:p w14:paraId="5CEC3CE2" w14:textId="77777777" w:rsidR="00A26C78" w:rsidRPr="00F0066D" w:rsidRDefault="00A26C78" w:rsidP="002236E0">
            <w:pPr>
              <w:spacing w:before="60" w:after="60"/>
              <w:rPr>
                <w:rFonts w:ascii="Adobe Caslon Pro" w:hAnsi="Adobe Caslon Pro" w:cs="Arial"/>
                <w:color w:val="000000" w:themeColor="text1"/>
                <w:sz w:val="20"/>
                <w:szCs w:val="20"/>
              </w:rPr>
            </w:pPr>
          </w:p>
        </w:tc>
      </w:tr>
    </w:tbl>
    <w:p w14:paraId="0C820192" w14:textId="77777777" w:rsidR="00A26C78" w:rsidRPr="00F7227F" w:rsidRDefault="00A26C78" w:rsidP="00A26C78">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1771"/>
        <w:gridCol w:w="1985"/>
        <w:gridCol w:w="6280"/>
      </w:tblGrid>
      <w:tr w:rsidR="00A26C78" w:rsidRPr="00F0066D" w14:paraId="6BB27FBF" w14:textId="77777777" w:rsidTr="00A26C78">
        <w:tc>
          <w:tcPr>
            <w:tcW w:w="1771" w:type="dxa"/>
            <w:vMerge w:val="restart"/>
            <w:shd w:val="clear" w:color="auto" w:fill="B8CCE4" w:themeFill="accent1" w:themeFillTint="66"/>
            <w:vAlign w:val="center"/>
          </w:tcPr>
          <w:p w14:paraId="7282F628" w14:textId="77777777" w:rsidR="00A26C78" w:rsidRPr="00F0066D" w:rsidRDefault="00A26C78" w:rsidP="002236E0">
            <w:pPr>
              <w:spacing w:before="60" w:after="60"/>
              <w:rPr>
                <w:rFonts w:ascii="Adobe Caslon Pro" w:hAnsi="Adobe Caslon Pro" w:cs="Arial"/>
                <w:color w:val="000000" w:themeColor="text1"/>
                <w:sz w:val="20"/>
                <w:szCs w:val="20"/>
              </w:rPr>
            </w:pPr>
            <w:r w:rsidRPr="00A26C78">
              <w:rPr>
                <w:rFonts w:ascii="Montserrat Regular" w:hAnsi="Montserrat Regular" w:cs="Arial"/>
                <w:b/>
                <w:sz w:val="22"/>
                <w:szCs w:val="22"/>
              </w:rPr>
              <w:t>Datos de la comisión:</w:t>
            </w:r>
          </w:p>
        </w:tc>
        <w:tc>
          <w:tcPr>
            <w:tcW w:w="1985" w:type="dxa"/>
          </w:tcPr>
          <w:p w14:paraId="252A5E9C" w14:textId="77777777" w:rsidR="00A26C78" w:rsidRPr="00F0066D" w:rsidRDefault="00A26C78" w:rsidP="00A26C78">
            <w:pPr>
              <w:spacing w:line="276" w:lineRule="auto"/>
              <w:rPr>
                <w:rFonts w:ascii="Adobe Caslon Pro" w:hAnsi="Adobe Caslon Pro" w:cs="Arial"/>
                <w:color w:val="000000" w:themeColor="text1"/>
                <w:sz w:val="20"/>
                <w:szCs w:val="20"/>
              </w:rPr>
            </w:pPr>
            <w:r w:rsidRPr="00A26C78">
              <w:rPr>
                <w:rFonts w:ascii="Montserrat Regular" w:hAnsi="Montserrat Regular" w:cs="Arial"/>
                <w:sz w:val="22"/>
                <w:szCs w:val="22"/>
              </w:rPr>
              <w:t>Lugar:</w:t>
            </w:r>
          </w:p>
        </w:tc>
        <w:tc>
          <w:tcPr>
            <w:tcW w:w="6280" w:type="dxa"/>
          </w:tcPr>
          <w:p w14:paraId="657C46BC" w14:textId="77777777" w:rsidR="00A26C78" w:rsidRPr="00F0066D" w:rsidRDefault="00A26C78" w:rsidP="002236E0">
            <w:pPr>
              <w:spacing w:before="60" w:after="60"/>
              <w:rPr>
                <w:rFonts w:ascii="Adobe Caslon Pro" w:hAnsi="Adobe Caslon Pro" w:cs="Arial"/>
                <w:color w:val="000000" w:themeColor="text1"/>
                <w:sz w:val="20"/>
                <w:szCs w:val="20"/>
              </w:rPr>
            </w:pPr>
          </w:p>
        </w:tc>
      </w:tr>
      <w:tr w:rsidR="00A26C78" w:rsidRPr="00F0066D" w14:paraId="2948045C" w14:textId="77777777" w:rsidTr="00A26C78">
        <w:tc>
          <w:tcPr>
            <w:tcW w:w="1771" w:type="dxa"/>
            <w:vMerge/>
            <w:shd w:val="clear" w:color="auto" w:fill="B8CCE4" w:themeFill="accent1" w:themeFillTint="66"/>
          </w:tcPr>
          <w:p w14:paraId="39DBC058" w14:textId="77777777" w:rsidR="00A26C78" w:rsidRPr="00F0066D" w:rsidRDefault="00A26C78" w:rsidP="002236E0">
            <w:pPr>
              <w:spacing w:before="60" w:after="60"/>
              <w:rPr>
                <w:rFonts w:ascii="Adobe Caslon Pro" w:hAnsi="Adobe Caslon Pro" w:cs="Arial"/>
                <w:color w:val="000000" w:themeColor="text1"/>
                <w:sz w:val="20"/>
                <w:szCs w:val="20"/>
              </w:rPr>
            </w:pPr>
          </w:p>
        </w:tc>
        <w:tc>
          <w:tcPr>
            <w:tcW w:w="1985" w:type="dxa"/>
          </w:tcPr>
          <w:p w14:paraId="3E6EB07C" w14:textId="77777777" w:rsidR="00A26C78" w:rsidRPr="00F0066D" w:rsidRDefault="00A26C78" w:rsidP="00A26C78">
            <w:pPr>
              <w:spacing w:line="276" w:lineRule="auto"/>
              <w:rPr>
                <w:rFonts w:ascii="Adobe Caslon Pro" w:hAnsi="Adobe Caslon Pro" w:cs="Arial"/>
                <w:color w:val="000000" w:themeColor="text1"/>
                <w:sz w:val="20"/>
                <w:szCs w:val="20"/>
              </w:rPr>
            </w:pPr>
            <w:r w:rsidRPr="00A26C78">
              <w:rPr>
                <w:rFonts w:ascii="Montserrat Regular" w:hAnsi="Montserrat Regular" w:cs="Arial"/>
                <w:sz w:val="22"/>
                <w:szCs w:val="22"/>
              </w:rPr>
              <w:t>Período:</w:t>
            </w:r>
          </w:p>
        </w:tc>
        <w:tc>
          <w:tcPr>
            <w:tcW w:w="6280" w:type="dxa"/>
          </w:tcPr>
          <w:p w14:paraId="37754796" w14:textId="77777777" w:rsidR="00A26C78" w:rsidRPr="00F0066D" w:rsidRDefault="00A26C78" w:rsidP="002236E0">
            <w:pPr>
              <w:spacing w:before="60" w:after="60"/>
              <w:rPr>
                <w:rFonts w:ascii="Adobe Caslon Pro" w:hAnsi="Adobe Caslon Pro" w:cs="Arial"/>
                <w:color w:val="000000" w:themeColor="text1"/>
                <w:sz w:val="20"/>
                <w:szCs w:val="20"/>
              </w:rPr>
            </w:pPr>
          </w:p>
        </w:tc>
      </w:tr>
    </w:tbl>
    <w:p w14:paraId="4ADC001C" w14:textId="77777777" w:rsidR="00A26C78" w:rsidRPr="00F7227F" w:rsidRDefault="00A26C78" w:rsidP="00A26C78">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9998"/>
      </w:tblGrid>
      <w:tr w:rsidR="00A26C78" w:rsidRPr="00F0066D" w14:paraId="28CE7744" w14:textId="77777777" w:rsidTr="00A26C78">
        <w:trPr>
          <w:trHeight w:val="297"/>
        </w:trPr>
        <w:tc>
          <w:tcPr>
            <w:tcW w:w="9998" w:type="dxa"/>
            <w:shd w:val="clear" w:color="auto" w:fill="B8CCE4" w:themeFill="accent1" w:themeFillTint="66"/>
          </w:tcPr>
          <w:p w14:paraId="74FCFEF8" w14:textId="77777777" w:rsidR="00A26C78" w:rsidRPr="00F0066D" w:rsidRDefault="00A26C78" w:rsidP="002236E0">
            <w:pPr>
              <w:spacing w:before="60" w:after="60"/>
              <w:rPr>
                <w:rFonts w:ascii="Adobe Caslon Pro" w:hAnsi="Adobe Caslon Pro" w:cs="Arial"/>
                <w:b/>
                <w:bCs/>
                <w:sz w:val="20"/>
                <w:szCs w:val="20"/>
                <w:lang w:val="es-ES"/>
              </w:rPr>
            </w:pPr>
            <w:r w:rsidRPr="00A26C78">
              <w:rPr>
                <w:rFonts w:ascii="Montserrat Regular" w:hAnsi="Montserrat Regular" w:cs="Arial"/>
                <w:b/>
                <w:sz w:val="22"/>
                <w:szCs w:val="22"/>
              </w:rPr>
              <w:t>Señalar: Objeto de la comisión, un resumen de las actividades realizadas, conclusiones y resultados obtenidos :</w:t>
            </w:r>
          </w:p>
        </w:tc>
      </w:tr>
      <w:tr w:rsidR="00A26C78" w:rsidRPr="00F0066D" w14:paraId="1D1B4C61" w14:textId="77777777" w:rsidTr="002236E0">
        <w:trPr>
          <w:trHeight w:val="2600"/>
        </w:trPr>
        <w:tc>
          <w:tcPr>
            <w:tcW w:w="9998" w:type="dxa"/>
          </w:tcPr>
          <w:p w14:paraId="13C23942" w14:textId="77777777" w:rsidR="00A26C78" w:rsidRPr="00F0066D" w:rsidRDefault="00A26C78" w:rsidP="002236E0">
            <w:pPr>
              <w:spacing w:before="240"/>
              <w:jc w:val="both"/>
              <w:rPr>
                <w:rFonts w:ascii="Adobe Caslon Pro" w:hAnsi="Adobe Caslon Pro" w:cs="Arial"/>
                <w:bCs/>
                <w:sz w:val="20"/>
                <w:szCs w:val="20"/>
                <w:lang w:val="es-ES"/>
              </w:rPr>
            </w:pPr>
          </w:p>
        </w:tc>
      </w:tr>
    </w:tbl>
    <w:p w14:paraId="3B4DEFF1" w14:textId="77777777" w:rsidR="00A26C78" w:rsidRPr="0089333E" w:rsidRDefault="00A26C78" w:rsidP="00A26C78">
      <w:pPr>
        <w:spacing w:line="360" w:lineRule="auto"/>
        <w:contextualSpacing/>
        <w:jc w:val="both"/>
        <w:rPr>
          <w:rFonts w:ascii="Arial" w:hAnsi="Arial" w:cs="Arial"/>
          <w:bCs/>
          <w:sz w:val="20"/>
          <w:szCs w:val="20"/>
          <w:lang w:val="es-ES"/>
        </w:rPr>
      </w:pPr>
    </w:p>
    <w:p w14:paraId="6C70250A" w14:textId="32D0902E" w:rsidR="005B29D7" w:rsidRPr="00A26C78" w:rsidRDefault="00A26C78" w:rsidP="00A26C78">
      <w:pPr>
        <w:spacing w:before="60" w:after="60"/>
        <w:jc w:val="center"/>
        <w:rPr>
          <w:rFonts w:ascii="Montserrat Regular" w:hAnsi="Montserrat Regular" w:cs="Arial"/>
          <w:b/>
          <w:sz w:val="22"/>
          <w:szCs w:val="22"/>
        </w:rPr>
      </w:pPr>
      <w:r w:rsidRPr="00A26C78">
        <w:rPr>
          <w:rFonts w:ascii="Montserrat Regular" w:hAnsi="Montserrat Regular" w:cs="Arial"/>
          <w:b/>
          <w:sz w:val="22"/>
          <w:szCs w:val="22"/>
        </w:rPr>
        <w:t>Atentamente</w:t>
      </w:r>
    </w:p>
    <w:sectPr w:rsidR="005B29D7" w:rsidRPr="00A26C78" w:rsidSect="005B29D7">
      <w:headerReference w:type="default" r:id="rId8"/>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5FC82" w14:textId="77777777" w:rsidR="0044098F" w:rsidRDefault="0044098F" w:rsidP="005B29D7">
      <w:r>
        <w:separator/>
      </w:r>
    </w:p>
  </w:endnote>
  <w:endnote w:type="continuationSeparator" w:id="0">
    <w:p w14:paraId="0E4D1ED2" w14:textId="77777777" w:rsidR="0044098F" w:rsidRDefault="0044098F" w:rsidP="005B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obe Caslon Pro">
    <w:altName w:val="Caslon Pro"/>
    <w:panose1 w:val="0205050205050A020403"/>
    <w:charset w:val="00"/>
    <w:family w:val="roman"/>
    <w:pitch w:val="variable"/>
    <w:sig w:usb0="800000AF" w:usb1="5000205B" w:usb2="00000000" w:usb3="00000000" w:csb0="0000009B" w:csb1="00000000"/>
  </w:font>
  <w:font w:name="Montserrat Regular">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Georgia">
    <w:altName w:val="Georgia"/>
    <w:panose1 w:val="02040502050405020303"/>
    <w:charset w:val="00"/>
    <w:family w:val="roman"/>
    <w:pitch w:val="variable"/>
    <w:sig w:usb0="00000287" w:usb1="00000000" w:usb2="00000000" w:usb3="00000000" w:csb0="0000009F" w:csb1="00000000"/>
  </w:font>
  <w:font w:name="Montserrat ExtraBold">
    <w:panose1 w:val="000009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5DD46" w14:textId="05C9EF47" w:rsidR="00A5239A" w:rsidRDefault="00A5239A">
    <w:pPr>
      <w:pStyle w:val="Piedepgina"/>
    </w:pPr>
    <w:r>
      <w:rPr>
        <w:noProof/>
        <w:lang w:val="es-MX" w:eastAsia="es-MX"/>
      </w:rPr>
      <w:drawing>
        <wp:anchor distT="0" distB="0" distL="114300" distR="114300" simplePos="0" relativeHeight="251659264" behindDoc="1" locked="0" layoutInCell="1" allowOverlap="1" wp14:anchorId="644DBFC7" wp14:editId="15C320BE">
          <wp:simplePos x="0" y="0"/>
          <wp:positionH relativeFrom="column">
            <wp:posOffset>1222375</wp:posOffset>
          </wp:positionH>
          <wp:positionV relativeFrom="paragraph">
            <wp:posOffset>-2909570</wp:posOffset>
          </wp:positionV>
          <wp:extent cx="5864352" cy="4349496"/>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ila_gris-01.png"/>
                  <pic:cNvPicPr/>
                </pic:nvPicPr>
                <pic:blipFill>
                  <a:blip r:embed="rId1">
                    <a:extLst>
                      <a:ext uri="{28A0092B-C50C-407E-A947-70E740481C1C}">
                        <a14:useLocalDpi xmlns:a14="http://schemas.microsoft.com/office/drawing/2010/main" val="0"/>
                      </a:ext>
                    </a:extLst>
                  </a:blip>
                  <a:stretch>
                    <a:fillRect/>
                  </a:stretch>
                </pic:blipFill>
                <pic:spPr>
                  <a:xfrm>
                    <a:off x="0" y="0"/>
                    <a:ext cx="5864352" cy="4349496"/>
                  </a:xfrm>
                  <a:prstGeom prst="rect">
                    <a:avLst/>
                  </a:prstGeom>
                </pic:spPr>
              </pic:pic>
            </a:graphicData>
          </a:graphic>
          <wp14:sizeRelH relativeFrom="page">
            <wp14:pctWidth>0</wp14:pctWidth>
          </wp14:sizeRelH>
          <wp14:sizeRelV relativeFrom="page">
            <wp14:pctHeight>0</wp14:pctHeight>
          </wp14:sizeRelV>
        </wp:anchor>
      </w:drawing>
    </w:r>
    <w:r w:rsidR="00803693">
      <w:rPr>
        <w:noProof/>
        <w:lang w:eastAsia="es-MX"/>
      </w:rPr>
      <w:drawing>
        <wp:inline distT="0" distB="0" distL="0" distR="0" wp14:anchorId="49C464EC" wp14:editId="4FE27C48">
          <wp:extent cx="6081823" cy="76554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c-01.png"/>
                  <pic:cNvPicPr/>
                </pic:nvPicPr>
                <pic:blipFill>
                  <a:blip r:embed="rId2">
                    <a:extLst>
                      <a:ext uri="{28A0092B-C50C-407E-A947-70E740481C1C}">
                        <a14:useLocalDpi xmlns:a14="http://schemas.microsoft.com/office/drawing/2010/main" val="0"/>
                      </a:ext>
                    </a:extLst>
                  </a:blip>
                  <a:stretch>
                    <a:fillRect/>
                  </a:stretch>
                </pic:blipFill>
                <pic:spPr>
                  <a:xfrm>
                    <a:off x="0" y="0"/>
                    <a:ext cx="6176036" cy="77740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3F460" w14:textId="77777777" w:rsidR="0044098F" w:rsidRDefault="0044098F" w:rsidP="005B29D7">
      <w:r>
        <w:separator/>
      </w:r>
    </w:p>
  </w:footnote>
  <w:footnote w:type="continuationSeparator" w:id="0">
    <w:p w14:paraId="40379C24" w14:textId="77777777" w:rsidR="0044098F" w:rsidRDefault="0044098F" w:rsidP="005B2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38175" w14:textId="0FC013A2" w:rsidR="00A5239A" w:rsidRDefault="00803693">
    <w:r>
      <w:rPr>
        <w:rFonts w:ascii="Montserrat ExtraBold" w:hAnsi="Montserrat ExtraBold"/>
        <w:noProof/>
        <w:sz w:val="18"/>
        <w:szCs w:val="18"/>
        <w:lang w:eastAsia="es-MX"/>
      </w:rPr>
      <w:drawing>
        <wp:inline distT="0" distB="0" distL="0" distR="0" wp14:anchorId="56BDF6C1" wp14:editId="50B04033">
          <wp:extent cx="2743200" cy="499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01.png"/>
                  <pic:cNvPicPr/>
                </pic:nvPicPr>
                <pic:blipFill>
                  <a:blip r:embed="rId1">
                    <a:extLst>
                      <a:ext uri="{28A0092B-C50C-407E-A947-70E740481C1C}">
                        <a14:useLocalDpi xmlns:a14="http://schemas.microsoft.com/office/drawing/2010/main" val="0"/>
                      </a:ext>
                    </a:extLst>
                  </a:blip>
                  <a:stretch>
                    <a:fillRect/>
                  </a:stretch>
                </pic:blipFill>
                <pic:spPr>
                  <a:xfrm>
                    <a:off x="0" y="0"/>
                    <a:ext cx="2794174" cy="509016"/>
                  </a:xfrm>
                  <a:prstGeom prst="rect">
                    <a:avLst/>
                  </a:prstGeom>
                </pic:spPr>
              </pic:pic>
            </a:graphicData>
          </a:graphic>
        </wp:inline>
      </w:drawing>
    </w:r>
  </w:p>
  <w:tbl>
    <w:tblPr>
      <w:tblStyle w:val="Tablaconcuadrcula"/>
      <w:tblW w:w="10314" w:type="dxa"/>
      <w:tblLayout w:type="fixed"/>
      <w:tblLook w:val="04A0" w:firstRow="1" w:lastRow="0" w:firstColumn="1" w:lastColumn="0" w:noHBand="0" w:noVBand="1"/>
    </w:tblPr>
    <w:tblGrid>
      <w:gridCol w:w="4077"/>
      <w:gridCol w:w="6237"/>
    </w:tblGrid>
    <w:tr w:rsidR="00A5239A" w14:paraId="3BFD2A0F" w14:textId="77777777" w:rsidTr="004329B2">
      <w:tc>
        <w:tcPr>
          <w:tcW w:w="4077" w:type="dxa"/>
          <w:tcBorders>
            <w:top w:val="nil"/>
            <w:left w:val="nil"/>
            <w:bottom w:val="nil"/>
            <w:right w:val="nil"/>
          </w:tcBorders>
        </w:tcPr>
        <w:p w14:paraId="21BA801C" w14:textId="31C4FF48" w:rsidR="00A5239A" w:rsidRDefault="00A5239A" w:rsidP="00195BC1">
          <w:pPr>
            <w:pStyle w:val="Encabezado"/>
          </w:pPr>
        </w:p>
      </w:tc>
      <w:tc>
        <w:tcPr>
          <w:tcW w:w="6237" w:type="dxa"/>
          <w:tcBorders>
            <w:top w:val="nil"/>
            <w:left w:val="nil"/>
            <w:bottom w:val="nil"/>
            <w:right w:val="nil"/>
          </w:tcBorders>
        </w:tcPr>
        <w:p w14:paraId="69855AE6" w14:textId="62AC1CE9" w:rsidR="00A5239A" w:rsidRPr="00217BFB" w:rsidRDefault="00A5239A" w:rsidP="00217BFB">
          <w:pPr>
            <w:pStyle w:val="Encabezado"/>
            <w:jc w:val="right"/>
            <w:rPr>
              <w:rFonts w:ascii="Montserrat Light" w:hAnsi="Montserrat Light"/>
              <w:sz w:val="14"/>
              <w:szCs w:val="14"/>
            </w:rPr>
          </w:pPr>
        </w:p>
      </w:tc>
    </w:tr>
  </w:tbl>
  <w:p w14:paraId="7A4348A1" w14:textId="77777777" w:rsidR="00A5239A" w:rsidRDefault="00A5239A">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D7"/>
    <w:rsid w:val="000938E1"/>
    <w:rsid w:val="000F2B49"/>
    <w:rsid w:val="00195BC1"/>
    <w:rsid w:val="001A0AC0"/>
    <w:rsid w:val="001B489A"/>
    <w:rsid w:val="00217BFB"/>
    <w:rsid w:val="002A2017"/>
    <w:rsid w:val="003224DA"/>
    <w:rsid w:val="00366E4F"/>
    <w:rsid w:val="003D7249"/>
    <w:rsid w:val="004329B2"/>
    <w:rsid w:val="0044098F"/>
    <w:rsid w:val="0046666F"/>
    <w:rsid w:val="005261C0"/>
    <w:rsid w:val="005742E7"/>
    <w:rsid w:val="005B29D7"/>
    <w:rsid w:val="006E54C9"/>
    <w:rsid w:val="007D100B"/>
    <w:rsid w:val="007E3478"/>
    <w:rsid w:val="00803693"/>
    <w:rsid w:val="0082329D"/>
    <w:rsid w:val="0089008E"/>
    <w:rsid w:val="00993EFB"/>
    <w:rsid w:val="00A26C78"/>
    <w:rsid w:val="00A5239A"/>
    <w:rsid w:val="00B0470E"/>
    <w:rsid w:val="00B249AF"/>
    <w:rsid w:val="00B924C7"/>
    <w:rsid w:val="00CD2B85"/>
    <w:rsid w:val="00E818A8"/>
    <w:rsid w:val="00E8506B"/>
    <w:rsid w:val="00EB6BD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00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6876F-73C7-4C1B-8DDF-1F1928947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681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CONSAR</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Romero Gatica</dc:creator>
  <cp:lastModifiedBy>Dulce María Olvera Ronquillo</cp:lastModifiedBy>
  <cp:revision>3</cp:revision>
  <cp:lastPrinted>2019-01-24T16:55:00Z</cp:lastPrinted>
  <dcterms:created xsi:type="dcterms:W3CDTF">2019-02-20T22:27:00Z</dcterms:created>
  <dcterms:modified xsi:type="dcterms:W3CDTF">2020-01-29T16:53:00Z</dcterms:modified>
</cp:coreProperties>
</file>