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Muhammad Saqeeb</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Powers</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Period 2</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Interesting</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Within the last three chapters, we start to see the “catch” of the governess job. The mystery of deaths within the mansion is to say the least, creepy.  Henry James is removing the comfort zone and keeping the governess and the readers in completely vulnerable. When the governess first encounters the the strange man, there was no sudden flash or gore. It was just a deep stare into something that contains no information. The amount of information taken away at first is deeply unsettling. Here in front picture is two angelic children in a glorious mansion. When something like seems too good, we feel as if we need to be on a watch out for something bad. And when we find that bad thing, we expect to have some control over it. In this story however, there is no control. The man shows up the second time frightening the governess, this time Mrs. Gowess notices her. There we learn of the identity of the man, who so happens to be Peter Quint, a dead governess. A ghost of someone who had your new job would scare anyone. But when this ghost stares into you without a sound, and leaves before you can recollect your emotions, horror consumes stability. Also, the answer to a eerie situation amplifies the scariness. This plot is amazing at being creepy partly because it rests on a silver line between reality and fiction. It possible the governess is hallucinating, that the kids are really what they are and the misfortunes are just coincidental. The opposite is just as true. That is the definition of psychosis, and any human would identify that internally, like the governess, and externally, the readers, as eldritch.</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