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BE727" w14:textId="39B6F66F" w:rsidR="00847DF9" w:rsidRPr="00824B91" w:rsidRDefault="00443EB3" w:rsidP="000E1AF5">
      <w:pPr>
        <w:jc w:val="center"/>
        <w:rPr>
          <w:rFonts w:ascii="PT Astra Sans" w:hAnsi="PT Astra Sans" w:cs="Times New Roman"/>
          <w:sz w:val="28"/>
          <w:szCs w:val="28"/>
        </w:rPr>
      </w:pPr>
      <w:r w:rsidRPr="00824B91">
        <w:rPr>
          <w:rFonts w:ascii="PT Astra Sans" w:hAnsi="PT Astra Sans" w:cs="Times New Roman"/>
          <w:b/>
          <w:bCs/>
          <w:sz w:val="28"/>
          <w:szCs w:val="28"/>
        </w:rPr>
        <w:t xml:space="preserve">Задание </w:t>
      </w:r>
      <w:r w:rsidR="00187B39" w:rsidRPr="00824B91">
        <w:rPr>
          <w:rFonts w:ascii="PT Astra Sans" w:hAnsi="PT Astra Sans" w:cs="Times New Roman"/>
          <w:b/>
          <w:bCs/>
          <w:sz w:val="28"/>
          <w:szCs w:val="28"/>
        </w:rPr>
        <w:t>9</w:t>
      </w:r>
      <w:r w:rsidR="00F95CCB" w:rsidRPr="00824B91">
        <w:rPr>
          <w:rFonts w:ascii="PT Astra Sans" w:hAnsi="PT Astra Sans" w:cs="Times New Roman"/>
          <w:b/>
          <w:bCs/>
          <w:sz w:val="28"/>
          <w:szCs w:val="28"/>
        </w:rPr>
        <w:t>.</w:t>
      </w:r>
      <w:r w:rsidRPr="00824B91">
        <w:rPr>
          <w:rFonts w:ascii="PT Astra Sans" w:hAnsi="PT Astra Sans" w:cs="Times New Roman"/>
          <w:b/>
          <w:bCs/>
          <w:sz w:val="28"/>
          <w:szCs w:val="28"/>
        </w:rPr>
        <w:t xml:space="preserve"> </w:t>
      </w:r>
      <w:r w:rsidR="00187B39" w:rsidRPr="00824B91">
        <w:rPr>
          <w:rFonts w:ascii="PT Astra Sans" w:hAnsi="PT Astra Sans" w:cs="Times New Roman"/>
          <w:b/>
          <w:bCs/>
          <w:sz w:val="28"/>
          <w:szCs w:val="28"/>
        </w:rPr>
        <w:t>Анализ практик</w:t>
      </w:r>
      <w:r w:rsidR="000E1AF5" w:rsidRPr="00824B91">
        <w:rPr>
          <w:rFonts w:ascii="PT Astra Sans" w:hAnsi="PT Astra Sans" w:cs="Times New Roman"/>
          <w:b/>
          <w:bCs/>
          <w:sz w:val="28"/>
          <w:szCs w:val="28"/>
        </w:rPr>
        <w:t xml:space="preserve"> ITIL v</w:t>
      </w:r>
      <w:r w:rsidR="00187B39" w:rsidRPr="00824B91">
        <w:rPr>
          <w:rFonts w:ascii="PT Astra Sans" w:hAnsi="PT Astra Sans" w:cs="Times New Roman"/>
          <w:b/>
          <w:bCs/>
          <w:sz w:val="28"/>
          <w:szCs w:val="28"/>
        </w:rPr>
        <w:t>4</w:t>
      </w:r>
    </w:p>
    <w:p w14:paraId="20D2D392" w14:textId="2DE46CB8" w:rsidR="00B02239" w:rsidRPr="00824B91" w:rsidRDefault="00187B39" w:rsidP="00824B91">
      <w:pPr>
        <w:ind w:firstLine="708"/>
        <w:rPr>
          <w:rFonts w:ascii="PT Astra Serif" w:hAnsi="PT Astra Serif" w:cs="Times New Roman"/>
          <w:sz w:val="28"/>
          <w:szCs w:val="28"/>
        </w:rPr>
      </w:pPr>
      <w:r w:rsidRPr="00824B91">
        <w:rPr>
          <w:rFonts w:ascii="PT Astra Serif" w:hAnsi="PT Astra Serif" w:cs="Times New Roman"/>
          <w:sz w:val="28"/>
          <w:szCs w:val="28"/>
        </w:rPr>
        <w:t>Опираясь на материалы лекции, знания, полученные в ходе изучения иностранного языка и возможности онлайн-переводчиков, ознакомьтесь с описанием практик, приведённых в ITIL Foundation</w:t>
      </w:r>
      <w:r w:rsidR="00B02239" w:rsidRPr="00824B91">
        <w:rPr>
          <w:rFonts w:ascii="PT Astra Serif" w:hAnsi="PT Astra Serif" w:cs="Times New Roman"/>
          <w:sz w:val="28"/>
          <w:szCs w:val="28"/>
        </w:rPr>
        <w:t>.</w:t>
      </w:r>
      <w:r w:rsidRPr="00824B91">
        <w:rPr>
          <w:rFonts w:ascii="PT Astra Serif" w:hAnsi="PT Astra Serif" w:cs="Times New Roman"/>
          <w:sz w:val="28"/>
          <w:szCs w:val="28"/>
        </w:rPr>
        <w:t xml:space="preserve"> По собственному усмотрению выберите три практики (одну из категории «Практики общего управления», вторую из категории</w:t>
      </w:r>
      <w:r w:rsidRPr="00824B91">
        <w:rPr>
          <w:rFonts w:ascii="PT Astra Serif" w:hAnsi="PT Astra Serif"/>
        </w:rPr>
        <w:t xml:space="preserve"> «</w:t>
      </w:r>
      <w:r w:rsidRPr="00824B91">
        <w:rPr>
          <w:rFonts w:ascii="PT Astra Serif" w:hAnsi="PT Astra Serif" w:cs="Times New Roman"/>
          <w:sz w:val="28"/>
          <w:szCs w:val="28"/>
        </w:rPr>
        <w:t>Практики управления услугами», третью – из категории</w:t>
      </w:r>
      <w:r w:rsidRPr="00824B91">
        <w:rPr>
          <w:rFonts w:ascii="PT Astra Serif" w:hAnsi="PT Astra Serif"/>
        </w:rPr>
        <w:t xml:space="preserve"> «</w:t>
      </w:r>
      <w:r w:rsidRPr="00824B91">
        <w:rPr>
          <w:rFonts w:ascii="PT Astra Serif" w:hAnsi="PT Astra Serif" w:cs="Times New Roman"/>
          <w:sz w:val="28"/>
          <w:szCs w:val="28"/>
        </w:rPr>
        <w:t>Практики управления технологиями»). В свободной форме опишите что представляет собой каждая из этих практик и как используется цепочка создания ценности для каждой из них.</w:t>
      </w:r>
      <w:r w:rsidR="007A6AC0" w:rsidRPr="00824B91">
        <w:rPr>
          <w:rFonts w:ascii="PT Astra Serif" w:hAnsi="PT Astra Serif" w:cs="Times New Roman"/>
          <w:sz w:val="28"/>
          <w:szCs w:val="28"/>
        </w:rPr>
        <w:t xml:space="preserve"> </w:t>
      </w:r>
      <w:r w:rsidR="00B02239" w:rsidRPr="00824B91">
        <w:rPr>
          <w:rFonts w:ascii="PT Astra Serif" w:hAnsi="PT Astra Serif" w:cs="Times New Roman"/>
          <w:sz w:val="28"/>
          <w:szCs w:val="28"/>
        </w:rPr>
        <w:t>После выполнения, прикрепите файл в отклики к заданию.</w:t>
      </w:r>
    </w:p>
    <w:p w14:paraId="1E09588A" w14:textId="77777777" w:rsidR="00A45408" w:rsidRPr="00824B91" w:rsidRDefault="00A45408" w:rsidP="00E168D1">
      <w:pPr>
        <w:jc w:val="both"/>
        <w:rPr>
          <w:rFonts w:ascii="PT Astra Serif" w:hAnsi="PT Astra Serif" w:cs="Times New Roman"/>
          <w:sz w:val="28"/>
          <w:szCs w:val="28"/>
        </w:rPr>
      </w:pPr>
    </w:p>
    <w:tbl>
      <w:tblPr>
        <w:tblStyle w:val="a3"/>
        <w:tblW w:w="10203" w:type="dxa"/>
        <w:tblLook w:val="04A0" w:firstRow="1" w:lastRow="0" w:firstColumn="1" w:lastColumn="0" w:noHBand="0" w:noVBand="1"/>
      </w:tblPr>
      <w:tblGrid>
        <w:gridCol w:w="1980"/>
        <w:gridCol w:w="8223"/>
      </w:tblGrid>
      <w:tr w:rsidR="00187B39" w:rsidRPr="00824B91" w14:paraId="6D9EE96D" w14:textId="77777777" w:rsidTr="00051D86">
        <w:tc>
          <w:tcPr>
            <w:tcW w:w="198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  <w:vAlign w:val="center"/>
          </w:tcPr>
          <w:p w14:paraId="56AC0D51" w14:textId="4BE82DBE" w:rsidR="00187B39" w:rsidRPr="00824B91" w:rsidRDefault="00187B39" w:rsidP="00824B9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  <w:r w:rsidRPr="00824B91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Категория</w:t>
            </w:r>
          </w:p>
        </w:tc>
        <w:tc>
          <w:tcPr>
            <w:tcW w:w="8223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  <w:vAlign w:val="center"/>
          </w:tcPr>
          <w:p w14:paraId="2187B106" w14:textId="6881A9F5" w:rsidR="00187B39" w:rsidRPr="00824B91" w:rsidRDefault="00187B39" w:rsidP="00824B9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  <w:r w:rsidRPr="00824B91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Практики общего управления</w:t>
            </w:r>
          </w:p>
        </w:tc>
      </w:tr>
      <w:tr w:rsidR="00187B39" w:rsidRPr="00824B91" w14:paraId="14FD7442" w14:textId="77777777" w:rsidTr="00051D86">
        <w:tc>
          <w:tcPr>
            <w:tcW w:w="198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  <w:vAlign w:val="center"/>
          </w:tcPr>
          <w:p w14:paraId="046DE7EC" w14:textId="5ABCB01A" w:rsidR="00187B39" w:rsidRPr="00824B91" w:rsidRDefault="00187B39" w:rsidP="00824B9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  <w:r w:rsidRPr="00824B91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Практика</w:t>
            </w:r>
          </w:p>
        </w:tc>
        <w:tc>
          <w:tcPr>
            <w:tcW w:w="8223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  <w:vAlign w:val="center"/>
          </w:tcPr>
          <w:p w14:paraId="0766FCD0" w14:textId="09C7E033" w:rsidR="00187B39" w:rsidRPr="00824B91" w:rsidRDefault="00824B91" w:rsidP="00824B9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  <w: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Управление рисками</w:t>
            </w:r>
          </w:p>
        </w:tc>
      </w:tr>
      <w:tr w:rsidR="00187B39" w:rsidRPr="00315BF2" w14:paraId="01A8ABBD" w14:textId="77777777" w:rsidTr="00051D86">
        <w:trPr>
          <w:trHeight w:val="2128"/>
        </w:trPr>
        <w:tc>
          <w:tcPr>
            <w:tcW w:w="10203" w:type="dxa"/>
            <w:gridSpan w:val="2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</w:tcPr>
          <w:p w14:paraId="5589B3EB" w14:textId="58A0545B" w:rsidR="00187B39" w:rsidRDefault="00B57356" w:rsidP="00824B91">
            <w:pPr>
              <w:rPr>
                <w:rFonts w:ascii="PT Astra Serif" w:hAnsi="PT Astra Serif" w:cs="Times New Roman"/>
                <w:sz w:val="28"/>
                <w:szCs w:val="28"/>
                <w:lang w:val="en-US"/>
              </w:rPr>
            </w:pPr>
            <w:r w:rsidRPr="00B57356">
              <w:rPr>
                <w:rFonts w:ascii="PT Astra Serif" w:hAnsi="PT Astra Serif" w:cs="Times New Roman"/>
                <w:sz w:val="28"/>
                <w:szCs w:val="28"/>
              </w:rPr>
              <w:t xml:space="preserve">Практика управления рисками нацелена на </w:t>
            </w:r>
            <w:r>
              <w:rPr>
                <w:rFonts w:ascii="PT Astra Serif" w:hAnsi="PT Astra Serif" w:cs="Times New Roman"/>
                <w:sz w:val="28"/>
                <w:szCs w:val="28"/>
              </w:rPr>
              <w:t>определение, анализ, мониторинг и предотвращение рисков</w:t>
            </w:r>
            <w:r w:rsidRPr="00B57356">
              <w:rPr>
                <w:rFonts w:ascii="PT Astra Serif" w:hAnsi="PT Astra Serif" w:cs="Times New Roman"/>
                <w:sz w:val="28"/>
                <w:szCs w:val="28"/>
              </w:rPr>
              <w:t>, связанными с ИТ-услугами и инфраструктурой</w:t>
            </w:r>
            <w:r>
              <w:rPr>
                <w:rFonts w:ascii="PT Astra Serif" w:hAnsi="PT Astra Serif" w:cs="Times New Roman"/>
                <w:sz w:val="28"/>
                <w:szCs w:val="28"/>
              </w:rPr>
              <w:t>. Состоит из четырёх разделов:</w:t>
            </w:r>
          </w:p>
          <w:p w14:paraId="200DC7FA" w14:textId="77777777" w:rsidR="002D0652" w:rsidRPr="002D0652" w:rsidRDefault="002D0652" w:rsidP="00824B91">
            <w:pPr>
              <w:rPr>
                <w:rFonts w:ascii="PT Astra Serif" w:hAnsi="PT Astra Serif" w:cs="Times New Roman"/>
                <w:sz w:val="28"/>
                <w:szCs w:val="28"/>
                <w:lang w:val="en-US"/>
              </w:rPr>
            </w:pPr>
          </w:p>
          <w:p w14:paraId="27B83E1C" w14:textId="77777777" w:rsidR="00B57356" w:rsidRDefault="00B57356" w:rsidP="00824B91">
            <w:pPr>
              <w:rPr>
                <w:rFonts w:ascii="PT Astra Serif" w:hAnsi="PT Astra Serif" w:cs="Times New Roman"/>
                <w:sz w:val="28"/>
                <w:szCs w:val="28"/>
                <w:lang w:val="en-US"/>
              </w:rPr>
            </w:pPr>
            <w:r w:rsidRPr="00B57356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- </w:t>
            </w:r>
            <w:r w:rsidRPr="00B57356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Поддержка управления рисками.</w:t>
            </w:r>
            <w:r w:rsidRPr="00B57356">
              <w:rPr>
                <w:rFonts w:ascii="PT Astra Serif" w:hAnsi="PT Astra Serif" w:cs="Times New Roman"/>
                <w:sz w:val="28"/>
                <w:szCs w:val="28"/>
              </w:rPr>
              <w:t xml:space="preserve"> Направлена на определение системы управления рисками. Здесь организациям необходимо ответить на основные вопросы, касающиеся того, как они справляются с рисками, например: это положительные или отрицательные риски, какие уровни риска организация готова допустить, кто отвечает за различные обязанности по управлению рисками.</w:t>
            </w:r>
          </w:p>
          <w:p w14:paraId="43265E49" w14:textId="77777777" w:rsidR="002D0652" w:rsidRPr="002D0652" w:rsidRDefault="002D0652" w:rsidP="00824B91">
            <w:pPr>
              <w:rPr>
                <w:rFonts w:ascii="PT Astra Serif" w:hAnsi="PT Astra Serif" w:cs="Times New Roman"/>
                <w:sz w:val="28"/>
                <w:szCs w:val="28"/>
                <w:lang w:val="en-US"/>
              </w:rPr>
            </w:pPr>
          </w:p>
          <w:p w14:paraId="739B525A" w14:textId="77777777" w:rsidR="00B57356" w:rsidRDefault="00B57356" w:rsidP="00824B91">
            <w:pPr>
              <w:rPr>
                <w:rFonts w:ascii="PT Astra Serif" w:hAnsi="PT Astra Serif" w:cs="Times New Roman"/>
                <w:sz w:val="28"/>
                <w:szCs w:val="28"/>
                <w:lang w:val="en-US"/>
              </w:rPr>
            </w:pPr>
            <w:r w:rsidRPr="00B57356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- </w:t>
            </w:r>
            <w:r w:rsidRPr="00B57356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Анализ рисков и воздействия на бизнес.</w:t>
            </w:r>
            <w:r w:rsidRPr="00B57356">
              <w:rPr>
                <w:rFonts w:ascii="PT Astra Serif" w:hAnsi="PT Astra Serif" w:cs="Times New Roman"/>
                <w:sz w:val="28"/>
                <w:szCs w:val="28"/>
              </w:rPr>
              <w:t xml:space="preserve"> Эта практика позволяет количественно оценивать влияние на бизнес, которое может возникнуть при реализации рисков. Также она помогает определить саму вероятность реализации риска. Основная цель — создание реестра рисков, который включает в себя список выявленных рисков и меры реагирования, которые должны быть приняты после их реализации. </w:t>
            </w:r>
          </w:p>
          <w:p w14:paraId="263B8DE2" w14:textId="77777777" w:rsidR="002D0652" w:rsidRPr="002D0652" w:rsidRDefault="002D0652" w:rsidP="00824B91">
            <w:pPr>
              <w:rPr>
                <w:rFonts w:ascii="PT Astra Serif" w:hAnsi="PT Astra Serif" w:cs="Times New Roman"/>
                <w:sz w:val="28"/>
                <w:szCs w:val="28"/>
                <w:lang w:val="en-US"/>
              </w:rPr>
            </w:pPr>
          </w:p>
          <w:p w14:paraId="70F8E0E8" w14:textId="293801AD" w:rsidR="00B57356" w:rsidRDefault="00B57356" w:rsidP="00824B91">
            <w:pPr>
              <w:rPr>
                <w:rFonts w:ascii="PT Astra Serif" w:hAnsi="PT Astra Serif" w:cs="Times New Roman"/>
                <w:sz w:val="28"/>
                <w:szCs w:val="28"/>
                <w:lang w:val="en-US"/>
              </w:rPr>
            </w:pPr>
            <w:r w:rsidRPr="00B57356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- </w:t>
            </w:r>
            <w:r w:rsidRPr="00B57356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Оценка необходимого снижения рисков.</w:t>
            </w:r>
            <w:r w:rsidRPr="00B57356">
              <w:rPr>
                <w:rFonts w:ascii="PT Astra Serif" w:hAnsi="PT Astra Serif" w:cs="Times New Roman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 w:cs="Times New Roman"/>
                <w:sz w:val="28"/>
                <w:szCs w:val="28"/>
              </w:rPr>
              <w:t xml:space="preserve">Здесь </w:t>
            </w:r>
            <w:r w:rsidRPr="00B57356">
              <w:rPr>
                <w:rFonts w:ascii="PT Astra Serif" w:hAnsi="PT Astra Serif" w:cs="Times New Roman"/>
                <w:sz w:val="28"/>
                <w:szCs w:val="28"/>
              </w:rPr>
              <w:t xml:space="preserve">организации определяют два важных элемента: стратегии реагирования на риск (или контрмеры), владельца риска для каждого конкретного риска. Владелец риска несёт ответственность за определение любых требуемых контрмер и за их постоянное поддержание. </w:t>
            </w:r>
          </w:p>
          <w:p w14:paraId="188486DB" w14:textId="77777777" w:rsidR="002D0652" w:rsidRPr="002D0652" w:rsidRDefault="002D0652" w:rsidP="00824B91">
            <w:pPr>
              <w:rPr>
                <w:rFonts w:ascii="PT Astra Serif" w:hAnsi="PT Astra Serif" w:cs="Times New Roman"/>
                <w:sz w:val="28"/>
                <w:szCs w:val="28"/>
                <w:lang w:val="en-US"/>
              </w:rPr>
            </w:pPr>
          </w:p>
          <w:p w14:paraId="13D775B7" w14:textId="77777777" w:rsidR="00B57356" w:rsidRDefault="00B57356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B57356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- </w:t>
            </w:r>
            <w:r w:rsidRPr="00B57356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Мониторинг рисков.</w:t>
            </w:r>
            <w:r w:rsidRPr="00B57356">
              <w:rPr>
                <w:rFonts w:ascii="PT Astra Serif" w:hAnsi="PT Astra Serif" w:cs="Times New Roman"/>
                <w:sz w:val="28"/>
                <w:szCs w:val="28"/>
              </w:rPr>
              <w:t xml:space="preserve"> Здесь организации предпринимают действия, когда риск уже реализован, а затем отслеживают ход реализации мер противодействия риску. Также мониторинг рисков включает в себя контроль за тем, чтобы меры реагирования на риски были адекватными воздействию этих рисков, и корректировку или изменение мер реагирования в случае необходимости.</w:t>
            </w:r>
          </w:p>
          <w:p w14:paraId="5FDBF24D" w14:textId="77777777" w:rsidR="002D0652" w:rsidRDefault="002D0652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</w:p>
          <w:p w14:paraId="2E1F8FE9" w14:textId="77777777" w:rsidR="002D0652" w:rsidRPr="002D0652" w:rsidRDefault="002D0652" w:rsidP="00824B9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  <w:r w:rsidRPr="002D0652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Цепочка создания ценности:</w:t>
            </w:r>
          </w:p>
          <w:p w14:paraId="56D68252" w14:textId="5D8598CE" w:rsidR="00315BF2" w:rsidRPr="00315BF2" w:rsidRDefault="00E15331" w:rsidP="00315BF2">
            <w:pPr>
              <w:rPr>
                <w:rFonts w:ascii="PT Astra Serif" w:hAnsi="PT Astra Serif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PT Astra Serif" w:hAnsi="PT Astra Serif" w:cs="Times New Roman"/>
                <w:i/>
                <w:iCs/>
                <w:sz w:val="28"/>
                <w:szCs w:val="28"/>
                <w:lang w:val="en-US"/>
              </w:rPr>
              <w:t>Improve</w:t>
            </w:r>
            <w:r w:rsidR="00315BF2" w:rsidRPr="00315BF2">
              <w:rPr>
                <w:rFonts w:ascii="PT Astra Serif" w:hAnsi="PT Astra Serif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315BF2" w:rsidRPr="00315BF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→</w:t>
            </w:r>
            <w:r w:rsidR="00315BF2" w:rsidRPr="00315BF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Engage </w:t>
            </w:r>
            <w:r w:rsidR="00315BF2" w:rsidRPr="00315BF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→</w:t>
            </w:r>
            <w:r w:rsidR="00315BF2" w:rsidRPr="00315BF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Design/Transition </w:t>
            </w:r>
            <w:r w:rsidR="00315BF2" w:rsidRPr="00315BF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→</w:t>
            </w:r>
            <w:r w:rsidR="00315BF2" w:rsidRPr="00315BF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Obtain/Build </w:t>
            </w:r>
            <w:r w:rsidR="00315BF2" w:rsidRPr="00315BF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→</w:t>
            </w:r>
            <w:r w:rsidR="00315BF2" w:rsidRPr="00315BF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Deliver/Support</w:t>
            </w:r>
          </w:p>
          <w:p w14:paraId="731EDA46" w14:textId="79772976" w:rsidR="002D0652" w:rsidRPr="00315BF2" w:rsidRDefault="002D0652" w:rsidP="002D0652">
            <w:pPr>
              <w:rPr>
                <w:rFonts w:ascii="PT Astra Serif" w:hAnsi="PT Astra Serif" w:cs="Times New Roman"/>
                <w:sz w:val="28"/>
                <w:szCs w:val="28"/>
                <w:lang w:val="en-US"/>
              </w:rPr>
            </w:pPr>
          </w:p>
        </w:tc>
      </w:tr>
    </w:tbl>
    <w:p w14:paraId="11B82F4D" w14:textId="68EDE7EF" w:rsidR="002D0652" w:rsidRPr="00315BF2" w:rsidRDefault="002D0652">
      <w:pPr>
        <w:rPr>
          <w:rFonts w:ascii="PT Astra Serif" w:hAnsi="PT Astra Serif" w:cs="Times New Roman"/>
          <w:sz w:val="28"/>
          <w:szCs w:val="28"/>
          <w:lang w:val="en-US"/>
        </w:rPr>
      </w:pPr>
    </w:p>
    <w:tbl>
      <w:tblPr>
        <w:tblStyle w:val="a3"/>
        <w:tblW w:w="10203" w:type="dxa"/>
        <w:tblLook w:val="04A0" w:firstRow="1" w:lastRow="0" w:firstColumn="1" w:lastColumn="0" w:noHBand="0" w:noVBand="1"/>
      </w:tblPr>
      <w:tblGrid>
        <w:gridCol w:w="1980"/>
        <w:gridCol w:w="8223"/>
      </w:tblGrid>
      <w:tr w:rsidR="00187B39" w:rsidRPr="00824B91" w14:paraId="2CCA55C4" w14:textId="77777777" w:rsidTr="00051D86">
        <w:tc>
          <w:tcPr>
            <w:tcW w:w="198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  <w:vAlign w:val="center"/>
          </w:tcPr>
          <w:p w14:paraId="09B0B0C8" w14:textId="77777777" w:rsidR="00187B39" w:rsidRPr="00824B91" w:rsidRDefault="00187B39" w:rsidP="00824B9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  <w:r w:rsidRPr="00824B91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Категория</w:t>
            </w:r>
          </w:p>
        </w:tc>
        <w:tc>
          <w:tcPr>
            <w:tcW w:w="8223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  <w:vAlign w:val="center"/>
          </w:tcPr>
          <w:p w14:paraId="5A7A9C48" w14:textId="6B16981F" w:rsidR="00187B39" w:rsidRPr="00824B91" w:rsidRDefault="00187B39" w:rsidP="00824B9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  <w:r w:rsidRPr="00824B91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Практики управления услугами</w:t>
            </w:r>
          </w:p>
        </w:tc>
      </w:tr>
      <w:tr w:rsidR="00187B39" w:rsidRPr="00824B91" w14:paraId="25C12332" w14:textId="77777777" w:rsidTr="00051D86">
        <w:tc>
          <w:tcPr>
            <w:tcW w:w="198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  <w:vAlign w:val="center"/>
          </w:tcPr>
          <w:p w14:paraId="69491159" w14:textId="77777777" w:rsidR="00187B39" w:rsidRPr="00824B91" w:rsidRDefault="00187B39" w:rsidP="00824B9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  <w:r w:rsidRPr="00824B91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Практика</w:t>
            </w:r>
          </w:p>
        </w:tc>
        <w:tc>
          <w:tcPr>
            <w:tcW w:w="8223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  <w:vAlign w:val="center"/>
          </w:tcPr>
          <w:p w14:paraId="332B78AC" w14:textId="4C099C8A" w:rsidR="00187B39" w:rsidRPr="00824B91" w:rsidRDefault="002D0652" w:rsidP="00824B9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  <w:r w:rsidRPr="002D0652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Управление инцидентами</w:t>
            </w:r>
          </w:p>
        </w:tc>
      </w:tr>
      <w:tr w:rsidR="00187B39" w:rsidRPr="00315BF2" w14:paraId="4C7B67E0" w14:textId="77777777" w:rsidTr="00051D86">
        <w:trPr>
          <w:trHeight w:val="2190"/>
        </w:trPr>
        <w:tc>
          <w:tcPr>
            <w:tcW w:w="10203" w:type="dxa"/>
            <w:gridSpan w:val="2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</w:tcPr>
          <w:p w14:paraId="3D4E94A3" w14:textId="3BBBA984" w:rsidR="002D0652" w:rsidRDefault="002D0652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2D0652">
              <w:rPr>
                <w:rFonts w:ascii="PT Astra Serif" w:hAnsi="PT Astra Serif" w:cs="Times New Roman"/>
                <w:sz w:val="28"/>
                <w:szCs w:val="28"/>
              </w:rPr>
              <w:t xml:space="preserve">Управление инцидентами в ITIL — это процесс, необходимый для устранения сбоев. </w:t>
            </w:r>
            <w:r>
              <w:rPr>
                <w:rFonts w:ascii="PT Astra Serif" w:hAnsi="PT Astra Serif" w:cs="Times New Roman"/>
                <w:sz w:val="28"/>
                <w:szCs w:val="28"/>
              </w:rPr>
              <w:t xml:space="preserve"> Его цели: оперативное восстановление функционирования системы, обеспечение условия соглашения об уровне обслуживания, минимизация влияния инцидентов на бизнес.</w:t>
            </w:r>
          </w:p>
          <w:p w14:paraId="53F7AEB9" w14:textId="77777777" w:rsidR="002D0652" w:rsidRDefault="002D0652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</w:p>
          <w:p w14:paraId="1B5A6E36" w14:textId="7E904FA6" w:rsidR="002D0652" w:rsidRDefault="002D0652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2D0652">
              <w:rPr>
                <w:rFonts w:ascii="PT Astra Serif" w:hAnsi="PT Astra Serif" w:cs="Times New Roman"/>
                <w:sz w:val="28"/>
                <w:szCs w:val="28"/>
              </w:rPr>
              <w:t>Жизненный цикл управления инцидентами ITIL включает:</w:t>
            </w:r>
          </w:p>
          <w:p w14:paraId="73841FCC" w14:textId="77777777" w:rsidR="002D0652" w:rsidRDefault="002D0652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</w:p>
          <w:p w14:paraId="0CA576D9" w14:textId="77777777" w:rsidR="00456860" w:rsidRDefault="00456860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456860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- </w:t>
            </w:r>
            <w:r w:rsidR="002D0652" w:rsidRPr="00456860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Регистрацию.</w:t>
            </w:r>
            <w:r w:rsidR="002D0652" w:rsidRPr="002D0652">
              <w:rPr>
                <w:rFonts w:ascii="PT Astra Serif" w:hAnsi="PT Astra Serif" w:cs="Times New Roman"/>
                <w:sz w:val="28"/>
                <w:szCs w:val="28"/>
              </w:rPr>
              <w:t xml:space="preserve"> В большинстве случаев инциденты регистрируются службой поддержки при поступлении обращений. Согласно ITIL, регистрация сбоев должна проводиться немедленно, при этом фиксируются данные, кто сообщил об инциденте, время, когда поступило обращение, и описание возникшей проблемы.</w:t>
            </w:r>
          </w:p>
          <w:p w14:paraId="67AEE752" w14:textId="4FC9D2B6" w:rsidR="002D0652" w:rsidRDefault="002D0652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2D0652">
              <w:rPr>
                <w:rFonts w:ascii="PT Astra Serif" w:hAnsi="PT Astra Serif" w:cs="Times New Roman"/>
                <w:sz w:val="28"/>
                <w:szCs w:val="28"/>
              </w:rPr>
              <w:t xml:space="preserve"> </w:t>
            </w:r>
          </w:p>
          <w:p w14:paraId="11AD18C6" w14:textId="416F535F" w:rsidR="002D0652" w:rsidRDefault="00456860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456860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- </w:t>
            </w:r>
            <w:r w:rsidR="002D0652" w:rsidRPr="00456860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Классификацию.</w:t>
            </w:r>
            <w:r w:rsidR="002D0652" w:rsidRPr="002D0652">
              <w:rPr>
                <w:rFonts w:ascii="PT Astra Serif" w:hAnsi="PT Astra Serif" w:cs="Times New Roman"/>
                <w:sz w:val="28"/>
                <w:szCs w:val="28"/>
              </w:rPr>
              <w:t xml:space="preserve"> Назначение категорий позволяет перенаправлять инциденты в нужную группу, проводить анализ повторяющихся сбоев, а также даёт основу для дальнейшего выявления причин их возникновения. </w:t>
            </w:r>
          </w:p>
          <w:p w14:paraId="5108C46E" w14:textId="77777777" w:rsidR="00456860" w:rsidRDefault="00456860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</w:p>
          <w:p w14:paraId="586894DF" w14:textId="42CD176F" w:rsidR="002D0652" w:rsidRDefault="00456860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456860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- Приоритизация</w:t>
            </w:r>
            <w:r w:rsidR="002D0652" w:rsidRPr="00456860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.</w:t>
            </w:r>
            <w:r w:rsidR="002D0652" w:rsidRPr="002D0652">
              <w:rPr>
                <w:rFonts w:ascii="PT Astra Serif" w:hAnsi="PT Astra Serif" w:cs="Times New Roman"/>
                <w:sz w:val="28"/>
                <w:szCs w:val="28"/>
              </w:rPr>
              <w:t xml:space="preserve"> Приоритет устанавливается на основе срочности, определяющей, насколько быстро нужно восстановить работоспособность, а также с учётом степени воздействия инцидента на бизнес-процессы компании. С учётом приоритетов устанавливается очередность устранения сбоев.</w:t>
            </w:r>
          </w:p>
          <w:p w14:paraId="26321630" w14:textId="77777777" w:rsidR="00456860" w:rsidRDefault="00456860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</w:p>
          <w:p w14:paraId="49ECED84" w14:textId="58649843" w:rsidR="00456860" w:rsidRDefault="00456860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456860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- </w:t>
            </w:r>
            <w:r w:rsidR="002D0652" w:rsidRPr="00456860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Маршрутизацию. </w:t>
            </w:r>
            <w:r w:rsidR="002D0652" w:rsidRPr="002D0652">
              <w:rPr>
                <w:rFonts w:ascii="PT Astra Serif" w:hAnsi="PT Astra Serif" w:cs="Times New Roman"/>
                <w:sz w:val="28"/>
                <w:szCs w:val="28"/>
              </w:rPr>
              <w:t xml:space="preserve">Для решения ситуации инцидент направляется техническому специалисту, который имеет необходимые знания и навыки. Если не получается решить проблему в рамках отведённого времени, происходит эскалация — привлечение большего количества сотрудников или передача задания на следующий уровень поддержки более опытному или профильному специалисту. </w:t>
            </w:r>
          </w:p>
          <w:p w14:paraId="484B8BBD" w14:textId="77777777" w:rsidR="00456860" w:rsidRDefault="00456860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</w:p>
          <w:p w14:paraId="1547224D" w14:textId="6A89ECBA" w:rsidR="00456860" w:rsidRDefault="00456860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456860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- </w:t>
            </w:r>
            <w:r w:rsidR="002D0652" w:rsidRPr="00456860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Восстановление. </w:t>
            </w:r>
            <w:r w:rsidR="002D0652" w:rsidRPr="002D0652">
              <w:rPr>
                <w:rFonts w:ascii="PT Astra Serif" w:hAnsi="PT Astra Serif" w:cs="Times New Roman"/>
                <w:sz w:val="28"/>
                <w:szCs w:val="28"/>
              </w:rPr>
              <w:t xml:space="preserve">Если найдено системное или временное решение по восстановлению услуг, проверяется успешность выполнения задачи, а также проводится документирование, чтобы в будущем при возникновении подобных событий использовать накопленные знания для более быстрой диагностики и устранения инцидентов. </w:t>
            </w:r>
          </w:p>
          <w:p w14:paraId="4CD70233" w14:textId="531084BB" w:rsidR="002D0652" w:rsidRPr="002D0652" w:rsidRDefault="00456860" w:rsidP="00824B91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456860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- </w:t>
            </w:r>
            <w:r w:rsidR="002D0652" w:rsidRPr="00456860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Закрытие.</w:t>
            </w:r>
            <w:r w:rsidR="002D0652" w:rsidRPr="002D0652">
              <w:rPr>
                <w:rFonts w:ascii="PT Astra Serif" w:hAnsi="PT Astra Serif" w:cs="Times New Roman"/>
                <w:sz w:val="28"/>
                <w:szCs w:val="28"/>
              </w:rPr>
              <w:t xml:space="preserve"> Обращение закрывается, если пользователь подтвердил восстановление услуг. </w:t>
            </w:r>
            <w:r w:rsidRPr="002D0652">
              <w:rPr>
                <w:rFonts w:ascii="PT Astra Serif" w:hAnsi="PT Astra Serif" w:cs="Times New Roman"/>
                <w:sz w:val="28"/>
                <w:szCs w:val="28"/>
              </w:rPr>
              <w:t>В противном случае</w:t>
            </w:r>
            <w:r w:rsidR="002D0652" w:rsidRPr="002D0652">
              <w:rPr>
                <w:rFonts w:ascii="PT Astra Serif" w:hAnsi="PT Astra Serif" w:cs="Times New Roman"/>
                <w:sz w:val="28"/>
                <w:szCs w:val="28"/>
              </w:rPr>
              <w:t xml:space="preserve"> работы по инциденту возобновляются.</w:t>
            </w:r>
          </w:p>
          <w:p w14:paraId="56314752" w14:textId="77777777" w:rsidR="002D0652" w:rsidRDefault="002D0652" w:rsidP="00824B91">
            <w:pPr>
              <w:rPr>
                <w:rFonts w:ascii="PT Astra Serif" w:hAnsi="PT Astra Serif" w:cs="Times New Roman"/>
                <w:sz w:val="28"/>
                <w:szCs w:val="28"/>
                <w:lang w:val="en-US"/>
              </w:rPr>
            </w:pPr>
          </w:p>
          <w:p w14:paraId="64034A22" w14:textId="77777777" w:rsidR="00315BF2" w:rsidRPr="00315BF2" w:rsidRDefault="00315BF2" w:rsidP="00315BF2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  <w:lang w:val="en-US"/>
              </w:rPr>
            </w:pPr>
            <w:r w:rsidRPr="002D0652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Цепочка</w:t>
            </w:r>
            <w:r w:rsidRPr="00315BF2">
              <w:rPr>
                <w:rFonts w:ascii="PT Astra Serif" w:hAnsi="PT Astra Serif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D0652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создания</w:t>
            </w:r>
            <w:r w:rsidRPr="00315BF2">
              <w:rPr>
                <w:rFonts w:ascii="PT Astra Serif" w:hAnsi="PT Astra Serif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D0652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ценности</w:t>
            </w:r>
            <w:r w:rsidRPr="00315BF2">
              <w:rPr>
                <w:rFonts w:ascii="PT Astra Serif" w:hAnsi="PT Astra Serif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7D6FFE4A" w14:textId="64AE4C5A" w:rsidR="00315BF2" w:rsidRPr="00315BF2" w:rsidRDefault="00315BF2" w:rsidP="00315BF2">
            <w:pPr>
              <w:rPr>
                <w:rFonts w:ascii="PT Astra Serif" w:hAnsi="PT Astra Serif" w:cs="Times New Roman"/>
                <w:i/>
                <w:iCs/>
                <w:sz w:val="28"/>
                <w:szCs w:val="28"/>
                <w:lang w:val="en-US"/>
              </w:rPr>
            </w:pPr>
            <w:r w:rsidRPr="00315BF2">
              <w:rPr>
                <w:rFonts w:ascii="PT Astra Serif" w:hAnsi="PT Astra Serif" w:cs="Times New Roman"/>
                <w:i/>
                <w:iCs/>
                <w:sz w:val="28"/>
                <w:szCs w:val="28"/>
                <w:lang w:val="en-US"/>
              </w:rPr>
              <w:t xml:space="preserve">Plan </w:t>
            </w:r>
            <w:r w:rsidRPr="00315BF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→ Engage → Design/Transition → Obtain/Build → Deliver/Support</w:t>
            </w:r>
          </w:p>
        </w:tc>
      </w:tr>
    </w:tbl>
    <w:p w14:paraId="4B795B4F" w14:textId="44D6B579" w:rsidR="002D0652" w:rsidRPr="00315BF2" w:rsidRDefault="002D0652" w:rsidP="00824B91">
      <w:pPr>
        <w:rPr>
          <w:rFonts w:ascii="PT Astra Serif" w:hAnsi="PT Astra Serif" w:cs="Times New Roman"/>
          <w:sz w:val="28"/>
          <w:szCs w:val="28"/>
          <w:lang w:val="en-US"/>
        </w:rPr>
      </w:pPr>
    </w:p>
    <w:p w14:paraId="7BFCC988" w14:textId="77777777" w:rsidR="002D0652" w:rsidRPr="00315BF2" w:rsidRDefault="002D0652">
      <w:pPr>
        <w:rPr>
          <w:rFonts w:ascii="PT Astra Serif" w:hAnsi="PT Astra Serif" w:cs="Times New Roman"/>
          <w:sz w:val="28"/>
          <w:szCs w:val="28"/>
          <w:lang w:val="en-US"/>
        </w:rPr>
      </w:pPr>
      <w:r w:rsidRPr="00315BF2">
        <w:rPr>
          <w:rFonts w:ascii="PT Astra Serif" w:hAnsi="PT Astra Serif" w:cs="Times New Roman"/>
          <w:sz w:val="28"/>
          <w:szCs w:val="28"/>
          <w:lang w:val="en-US"/>
        </w:rPr>
        <w:br w:type="page"/>
      </w:r>
    </w:p>
    <w:tbl>
      <w:tblPr>
        <w:tblStyle w:val="a3"/>
        <w:tblW w:w="10203" w:type="dxa"/>
        <w:tblLook w:val="04A0" w:firstRow="1" w:lastRow="0" w:firstColumn="1" w:lastColumn="0" w:noHBand="0" w:noVBand="1"/>
      </w:tblPr>
      <w:tblGrid>
        <w:gridCol w:w="1980"/>
        <w:gridCol w:w="8223"/>
      </w:tblGrid>
      <w:tr w:rsidR="00187B39" w:rsidRPr="00824B91" w14:paraId="5F07C444" w14:textId="77777777" w:rsidTr="00051D86">
        <w:tc>
          <w:tcPr>
            <w:tcW w:w="198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  <w:vAlign w:val="center"/>
          </w:tcPr>
          <w:p w14:paraId="3FA4C41F" w14:textId="77777777" w:rsidR="00187B39" w:rsidRPr="00824B91" w:rsidRDefault="00187B39" w:rsidP="00824B9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  <w:r w:rsidRPr="00824B91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lastRenderedPageBreak/>
              <w:t>Категория</w:t>
            </w:r>
          </w:p>
        </w:tc>
        <w:tc>
          <w:tcPr>
            <w:tcW w:w="8223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  <w:vAlign w:val="center"/>
          </w:tcPr>
          <w:p w14:paraId="2F049D00" w14:textId="06EB4B51" w:rsidR="00187B39" w:rsidRPr="00824B91" w:rsidRDefault="00187B39" w:rsidP="00824B9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  <w:r w:rsidRPr="00824B91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Практики управления технологиями</w:t>
            </w:r>
          </w:p>
        </w:tc>
      </w:tr>
      <w:tr w:rsidR="00187B39" w:rsidRPr="00824B91" w14:paraId="2421CF13" w14:textId="77777777" w:rsidTr="00051D86">
        <w:tc>
          <w:tcPr>
            <w:tcW w:w="198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  <w:vAlign w:val="center"/>
          </w:tcPr>
          <w:p w14:paraId="4801588B" w14:textId="77777777" w:rsidR="00187B39" w:rsidRPr="00824B91" w:rsidRDefault="00187B39" w:rsidP="00824B9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  <w:r w:rsidRPr="00824B91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Практика</w:t>
            </w:r>
          </w:p>
        </w:tc>
        <w:tc>
          <w:tcPr>
            <w:tcW w:w="8223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  <w:vAlign w:val="center"/>
          </w:tcPr>
          <w:p w14:paraId="76AE9F4A" w14:textId="388456AD" w:rsidR="00187B39" w:rsidRPr="00824B91" w:rsidRDefault="00AD110B" w:rsidP="00824B9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  <w: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Управление развёртыванием</w:t>
            </w:r>
          </w:p>
        </w:tc>
      </w:tr>
      <w:tr w:rsidR="00187B39" w:rsidRPr="00E15331" w14:paraId="04663839" w14:textId="77777777" w:rsidTr="00051D86">
        <w:trPr>
          <w:trHeight w:val="2066"/>
        </w:trPr>
        <w:tc>
          <w:tcPr>
            <w:tcW w:w="10203" w:type="dxa"/>
            <w:gridSpan w:val="2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85" w:type="dxa"/>
              <w:bottom w:w="85" w:type="dxa"/>
            </w:tcMar>
          </w:tcPr>
          <w:p w14:paraId="7EDC45BC" w14:textId="22171972" w:rsidR="00AD110B" w:rsidRDefault="00AD110B" w:rsidP="00E15331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AD110B">
              <w:rPr>
                <w:rFonts w:ascii="PT Astra Serif" w:hAnsi="PT Astra Serif" w:cs="Times New Roman"/>
                <w:sz w:val="28"/>
                <w:szCs w:val="28"/>
              </w:rPr>
              <w:t xml:space="preserve">Управление развертыванием тесно связано с управлением релизами и контролем изменений, но является отдельной практикой. В некоторых организациях термин </w:t>
            </w:r>
            <w:r w:rsidR="00AF1EBE">
              <w:rPr>
                <w:rFonts w:ascii="PT Astra Serif" w:hAnsi="PT Astra Serif" w:cs="Times New Roman"/>
                <w:sz w:val="28"/>
                <w:szCs w:val="28"/>
              </w:rPr>
              <w:t>«</w:t>
            </w:r>
            <w:r w:rsidRPr="00AD110B">
              <w:rPr>
                <w:rFonts w:ascii="PT Astra Serif" w:hAnsi="PT Astra Serif" w:cs="Times New Roman"/>
                <w:sz w:val="28"/>
                <w:szCs w:val="28"/>
              </w:rPr>
              <w:t>обеспечение</w:t>
            </w:r>
            <w:r w:rsidR="00AF1EBE">
              <w:rPr>
                <w:rFonts w:ascii="PT Astra Serif" w:hAnsi="PT Astra Serif" w:cs="Times New Roman"/>
                <w:sz w:val="28"/>
                <w:szCs w:val="28"/>
              </w:rPr>
              <w:t>»</w:t>
            </w:r>
            <w:r w:rsidRPr="00AD110B">
              <w:rPr>
                <w:rFonts w:ascii="PT Astra Serif" w:hAnsi="PT Astra Serif" w:cs="Times New Roman"/>
                <w:sz w:val="28"/>
                <w:szCs w:val="28"/>
              </w:rPr>
              <w:t xml:space="preserve"> используется для описания развертывания инфраструктуры, а термин </w:t>
            </w:r>
            <w:r w:rsidR="00AF1EBE">
              <w:rPr>
                <w:rFonts w:ascii="PT Astra Serif" w:hAnsi="PT Astra Serif" w:cs="Times New Roman"/>
                <w:sz w:val="28"/>
                <w:szCs w:val="28"/>
              </w:rPr>
              <w:t>«</w:t>
            </w:r>
            <w:r w:rsidRPr="00AD110B">
              <w:rPr>
                <w:rFonts w:ascii="PT Astra Serif" w:hAnsi="PT Astra Serif" w:cs="Times New Roman"/>
                <w:sz w:val="28"/>
                <w:szCs w:val="28"/>
              </w:rPr>
              <w:t>развертывание</w:t>
            </w:r>
            <w:r w:rsidR="00AF1EBE">
              <w:rPr>
                <w:rFonts w:ascii="PT Astra Serif" w:hAnsi="PT Astra Serif" w:cs="Times New Roman"/>
                <w:sz w:val="28"/>
                <w:szCs w:val="28"/>
              </w:rPr>
              <w:t>»</w:t>
            </w:r>
            <w:r w:rsidRPr="00AD110B">
              <w:rPr>
                <w:rFonts w:ascii="PT Astra Serif" w:hAnsi="PT Astra Serif" w:cs="Times New Roman"/>
                <w:sz w:val="28"/>
                <w:szCs w:val="28"/>
              </w:rPr>
              <w:t xml:space="preserve"> используется только применительно к программному обеспечению, но в данном случае термин "развертывание" используется для обозначения обоих понятий.</w:t>
            </w:r>
          </w:p>
          <w:p w14:paraId="59FA7D7B" w14:textId="77777777" w:rsidR="00AF1EBE" w:rsidRDefault="00AF1EBE" w:rsidP="00E15331">
            <w:pPr>
              <w:rPr>
                <w:rFonts w:ascii="PT Astra Serif" w:hAnsi="PT Astra Serif" w:cs="Times New Roman"/>
                <w:sz w:val="28"/>
                <w:szCs w:val="28"/>
              </w:rPr>
            </w:pPr>
          </w:p>
          <w:p w14:paraId="6ECCB715" w14:textId="77777777" w:rsidR="00AF1EBE" w:rsidRPr="00AF1EBE" w:rsidRDefault="00AF1EBE" w:rsidP="00AF1EBE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AF1EBE">
              <w:rPr>
                <w:rFonts w:ascii="PT Astra Serif" w:hAnsi="PT Astra Serif" w:cs="Times New Roman"/>
                <w:sz w:val="28"/>
                <w:szCs w:val="28"/>
              </w:rPr>
              <w:t>Существует несколько различных подходов к развертыванию. Многие организации используют комбинацию этих подходов в зависимости от своих специфических услуг и требований, а также размеров, типов и влияния релизов.</w:t>
            </w:r>
          </w:p>
          <w:p w14:paraId="3E98802A" w14:textId="77777777" w:rsidR="00AF1EBE" w:rsidRPr="00AF1EBE" w:rsidRDefault="00AF1EBE" w:rsidP="00AF1EBE">
            <w:pPr>
              <w:rPr>
                <w:rFonts w:ascii="PT Astra Serif" w:hAnsi="PT Astra Serif" w:cs="Times New Roman"/>
                <w:sz w:val="28"/>
                <w:szCs w:val="28"/>
              </w:rPr>
            </w:pPr>
          </w:p>
          <w:p w14:paraId="7B799582" w14:textId="747F0227" w:rsidR="00AF1EBE" w:rsidRPr="00AF1EBE" w:rsidRDefault="00AF1EBE" w:rsidP="00AF1EBE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350B3B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- </w:t>
            </w:r>
            <w:r w:rsidRPr="00350B3B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Фазовое развертывание:</w:t>
            </w:r>
            <w:r w:rsidRPr="00AF1EBE">
              <w:rPr>
                <w:rFonts w:ascii="PT Astra Serif" w:hAnsi="PT Astra Serif" w:cs="Times New Roman"/>
                <w:sz w:val="28"/>
                <w:szCs w:val="28"/>
              </w:rPr>
              <w:t xml:space="preserve"> Новые или измененные компоненты развертываются поэтапно в части производственной среды, например, для пользователей в одном офисе или одной стране. Операция повторяется до завершения развертывания.</w:t>
            </w:r>
          </w:p>
          <w:p w14:paraId="02699CA8" w14:textId="77777777" w:rsidR="00AF1EBE" w:rsidRPr="00AF1EBE" w:rsidRDefault="00AF1EBE" w:rsidP="00AF1EBE">
            <w:pPr>
              <w:rPr>
                <w:rFonts w:ascii="PT Astra Serif" w:hAnsi="PT Astra Serif" w:cs="Times New Roman"/>
                <w:sz w:val="28"/>
                <w:szCs w:val="28"/>
              </w:rPr>
            </w:pPr>
          </w:p>
          <w:p w14:paraId="28AB9965" w14:textId="4A7C72E3" w:rsidR="00AF1EBE" w:rsidRPr="00AF1EBE" w:rsidRDefault="00AF1EBE" w:rsidP="00AF1EBE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350B3B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- </w:t>
            </w:r>
            <w:r w:rsidRPr="00350B3B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Непрерывная доставка:</w:t>
            </w:r>
            <w:r w:rsidRPr="00AF1EBE">
              <w:rPr>
                <w:rFonts w:ascii="PT Astra Serif" w:hAnsi="PT Astra Serif" w:cs="Times New Roman"/>
                <w:sz w:val="28"/>
                <w:szCs w:val="28"/>
              </w:rPr>
              <w:t xml:space="preserve"> Компоненты интегрируются, тестируются и развертываются по мере необходимости, что обеспечивает частые возможности для обратной связи от клиентов.</w:t>
            </w:r>
          </w:p>
          <w:p w14:paraId="5A2892A8" w14:textId="77777777" w:rsidR="00AF1EBE" w:rsidRPr="00AF1EBE" w:rsidRDefault="00AF1EBE" w:rsidP="00AF1EBE">
            <w:pPr>
              <w:rPr>
                <w:rFonts w:ascii="PT Astra Serif" w:hAnsi="PT Astra Serif" w:cs="Times New Roman"/>
                <w:sz w:val="28"/>
                <w:szCs w:val="28"/>
              </w:rPr>
            </w:pPr>
          </w:p>
          <w:p w14:paraId="618F1524" w14:textId="2AC19B59" w:rsidR="00AF1EBE" w:rsidRPr="00AF1EBE" w:rsidRDefault="00AF1EBE" w:rsidP="00AF1EBE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350B3B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- </w:t>
            </w:r>
            <w:r w:rsidRPr="00350B3B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Массовое развертывание:</w:t>
            </w:r>
            <w:r w:rsidRPr="00AF1EBE">
              <w:rPr>
                <w:rFonts w:ascii="PT Astra Serif" w:hAnsi="PT Astra Serif" w:cs="Times New Roman"/>
                <w:sz w:val="28"/>
                <w:szCs w:val="28"/>
              </w:rPr>
              <w:t xml:space="preserve"> Новые или измененные компоненты развертываются одновременно для всех целей. Этот подход иногда необходим, когда зависимости не позволяют использовать старые и новые компоненты одновременно, например, при изменении схемы базы данных, несовместимой с предыдущими версиями некоторых компонентов.</w:t>
            </w:r>
          </w:p>
          <w:p w14:paraId="492AE550" w14:textId="77777777" w:rsidR="00AF1EBE" w:rsidRPr="00AF1EBE" w:rsidRDefault="00AF1EBE" w:rsidP="00AF1EBE">
            <w:pPr>
              <w:rPr>
                <w:rFonts w:ascii="PT Astra Serif" w:hAnsi="PT Astra Serif" w:cs="Times New Roman"/>
                <w:sz w:val="28"/>
                <w:szCs w:val="28"/>
              </w:rPr>
            </w:pPr>
          </w:p>
          <w:p w14:paraId="73061D9F" w14:textId="75E40A7E" w:rsidR="00AF1EBE" w:rsidRPr="00AD110B" w:rsidRDefault="00AF1EBE" w:rsidP="00AF1EBE">
            <w:pPr>
              <w:rPr>
                <w:rFonts w:ascii="PT Astra Serif" w:hAnsi="PT Astra Serif" w:cs="Times New Roman"/>
                <w:sz w:val="28"/>
                <w:szCs w:val="28"/>
              </w:rPr>
            </w:pPr>
            <w:r w:rsidRPr="00350B3B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- Пул</w:t>
            </w:r>
            <w:r w:rsidRPr="00350B3B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 xml:space="preserve">-развертывание: </w:t>
            </w:r>
            <w:r w:rsidRPr="00AF1EBE">
              <w:rPr>
                <w:rFonts w:ascii="PT Astra Serif" w:hAnsi="PT Astra Serif" w:cs="Times New Roman"/>
                <w:sz w:val="28"/>
                <w:szCs w:val="28"/>
              </w:rPr>
              <w:t>Новое или измененное программное обеспечение размещается в контролируемом репозитории, и пользователи загружают его на клиентские устройства по своему выбору. Это позволяет пользователям контролировать время обновлений и может быть интегрировано с управлением запросами на обслуживание, чтобы пользователи могли запрашивать программное обеспечение только по мере необходимости.</w:t>
            </w:r>
          </w:p>
          <w:p w14:paraId="483003E3" w14:textId="77777777" w:rsidR="00AD110B" w:rsidRDefault="00AD110B" w:rsidP="00E1533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</w:pPr>
          </w:p>
          <w:p w14:paraId="5F476C33" w14:textId="636C2E10" w:rsidR="00E15331" w:rsidRPr="00315BF2" w:rsidRDefault="00E15331" w:rsidP="00E15331">
            <w:pPr>
              <w:rPr>
                <w:rFonts w:ascii="PT Astra Serif" w:hAnsi="PT Astra Serif" w:cs="Times New Roman"/>
                <w:b/>
                <w:bCs/>
                <w:sz w:val="28"/>
                <w:szCs w:val="28"/>
                <w:lang w:val="en-US"/>
              </w:rPr>
            </w:pPr>
            <w:r w:rsidRPr="002D0652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Цепочка</w:t>
            </w:r>
            <w:r w:rsidRPr="00315BF2">
              <w:rPr>
                <w:rFonts w:ascii="PT Astra Serif" w:hAnsi="PT Astra Serif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D0652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создания</w:t>
            </w:r>
            <w:r w:rsidRPr="00315BF2">
              <w:rPr>
                <w:rFonts w:ascii="PT Astra Serif" w:hAnsi="PT Astra Serif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D0652">
              <w:rPr>
                <w:rFonts w:ascii="PT Astra Serif" w:hAnsi="PT Astra Serif" w:cs="Times New Roman"/>
                <w:b/>
                <w:bCs/>
                <w:sz w:val="28"/>
                <w:szCs w:val="28"/>
              </w:rPr>
              <w:t>ценности</w:t>
            </w:r>
            <w:r w:rsidRPr="00315BF2">
              <w:rPr>
                <w:rFonts w:ascii="PT Astra Serif" w:hAnsi="PT Astra Serif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4011C2AD" w14:textId="38AEEDE7" w:rsidR="00AD110B" w:rsidRPr="00AD110B" w:rsidRDefault="00AD110B" w:rsidP="00E15331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PT Astra Serif" w:hAnsi="PT Astra Serif" w:cs="Times New Roman"/>
                <w:i/>
                <w:iCs/>
                <w:sz w:val="28"/>
                <w:szCs w:val="28"/>
                <w:lang w:val="en-US"/>
              </w:rPr>
              <w:t>Improve</w:t>
            </w:r>
            <w:r w:rsidR="00E15331" w:rsidRPr="00315BF2">
              <w:rPr>
                <w:rFonts w:ascii="PT Astra Serif" w:hAnsi="PT Astra Serif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315BF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315BF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Design</w:t>
            </w:r>
            <w:r w:rsidR="00E15331" w:rsidRPr="00315BF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/Transition → Obtain/Build</w:t>
            </w:r>
          </w:p>
        </w:tc>
      </w:tr>
    </w:tbl>
    <w:p w14:paraId="5F725146" w14:textId="77777777" w:rsidR="00187B39" w:rsidRPr="00E15331" w:rsidRDefault="00187B39" w:rsidP="00187B39">
      <w:pPr>
        <w:jc w:val="both"/>
        <w:rPr>
          <w:rFonts w:ascii="PT Astra Serif" w:hAnsi="PT Astra Serif" w:cs="Times New Roman"/>
          <w:sz w:val="28"/>
          <w:szCs w:val="28"/>
          <w:lang w:val="en-US"/>
        </w:rPr>
      </w:pPr>
    </w:p>
    <w:sectPr w:rsidR="00187B39" w:rsidRPr="00E15331" w:rsidSect="00824B91">
      <w:pgSz w:w="11906" w:h="16838"/>
      <w:pgMar w:top="964" w:right="851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ans">
    <w:panose1 w:val="020B0603020203020204"/>
    <w:charset w:val="CC"/>
    <w:family w:val="swiss"/>
    <w:pitch w:val="variable"/>
    <w:sig w:usb0="A00002EF" w:usb1="5000204B" w:usb2="00000020" w:usb3="00000000" w:csb0="00000097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E26"/>
    <w:multiLevelType w:val="hybridMultilevel"/>
    <w:tmpl w:val="0A70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5703"/>
    <w:multiLevelType w:val="hybridMultilevel"/>
    <w:tmpl w:val="8802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AF4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03B19"/>
    <w:multiLevelType w:val="hybridMultilevel"/>
    <w:tmpl w:val="3F88B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77B95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30C2D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04923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23C32"/>
    <w:multiLevelType w:val="hybridMultilevel"/>
    <w:tmpl w:val="C2E2EA2E"/>
    <w:lvl w:ilvl="0" w:tplc="6B2C134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0E7998"/>
    <w:multiLevelType w:val="hybridMultilevel"/>
    <w:tmpl w:val="0F2C6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358F4"/>
    <w:multiLevelType w:val="hybridMultilevel"/>
    <w:tmpl w:val="AC8893AE"/>
    <w:lvl w:ilvl="0" w:tplc="24C85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547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90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CC1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2E2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8C5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FEA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4E8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2C2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6210420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B5EA3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E1631"/>
    <w:multiLevelType w:val="hybridMultilevel"/>
    <w:tmpl w:val="25D00F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E32755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11411">
    <w:abstractNumId w:val="9"/>
  </w:num>
  <w:num w:numId="2" w16cid:durableId="1010108092">
    <w:abstractNumId w:val="0"/>
  </w:num>
  <w:num w:numId="3" w16cid:durableId="1290011080">
    <w:abstractNumId w:val="1"/>
  </w:num>
  <w:num w:numId="4" w16cid:durableId="1682390890">
    <w:abstractNumId w:val="11"/>
  </w:num>
  <w:num w:numId="5" w16cid:durableId="1467313087">
    <w:abstractNumId w:val="5"/>
  </w:num>
  <w:num w:numId="6" w16cid:durableId="1987590764">
    <w:abstractNumId w:val="6"/>
  </w:num>
  <w:num w:numId="7" w16cid:durableId="1180893700">
    <w:abstractNumId w:val="2"/>
  </w:num>
  <w:num w:numId="8" w16cid:durableId="782581533">
    <w:abstractNumId w:val="13"/>
  </w:num>
  <w:num w:numId="9" w16cid:durableId="1960724069">
    <w:abstractNumId w:val="10"/>
  </w:num>
  <w:num w:numId="10" w16cid:durableId="1637762477">
    <w:abstractNumId w:val="4"/>
  </w:num>
  <w:num w:numId="11" w16cid:durableId="668215496">
    <w:abstractNumId w:val="7"/>
  </w:num>
  <w:num w:numId="12" w16cid:durableId="873155558">
    <w:abstractNumId w:val="12"/>
  </w:num>
  <w:num w:numId="13" w16cid:durableId="165901208">
    <w:abstractNumId w:val="8"/>
  </w:num>
  <w:num w:numId="14" w16cid:durableId="532770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F9"/>
    <w:rsid w:val="00015356"/>
    <w:rsid w:val="000427F0"/>
    <w:rsid w:val="00051D86"/>
    <w:rsid w:val="000945E4"/>
    <w:rsid w:val="00096352"/>
    <w:rsid w:val="000C77BE"/>
    <w:rsid w:val="000E1AF5"/>
    <w:rsid w:val="000E7F40"/>
    <w:rsid w:val="001142DD"/>
    <w:rsid w:val="00153672"/>
    <w:rsid w:val="00160590"/>
    <w:rsid w:val="00187B39"/>
    <w:rsid w:val="00197BE5"/>
    <w:rsid w:val="002B3086"/>
    <w:rsid w:val="002D0652"/>
    <w:rsid w:val="00315BF2"/>
    <w:rsid w:val="00350B3B"/>
    <w:rsid w:val="003E46E9"/>
    <w:rsid w:val="00443EB3"/>
    <w:rsid w:val="00456860"/>
    <w:rsid w:val="004B4070"/>
    <w:rsid w:val="004B7CAD"/>
    <w:rsid w:val="00504C7C"/>
    <w:rsid w:val="0054371A"/>
    <w:rsid w:val="005F3818"/>
    <w:rsid w:val="00637BDF"/>
    <w:rsid w:val="00637EEB"/>
    <w:rsid w:val="006679A9"/>
    <w:rsid w:val="00737925"/>
    <w:rsid w:val="00756C25"/>
    <w:rsid w:val="00781C9D"/>
    <w:rsid w:val="00790464"/>
    <w:rsid w:val="007A399A"/>
    <w:rsid w:val="007A6AC0"/>
    <w:rsid w:val="007A7DEC"/>
    <w:rsid w:val="007E60FA"/>
    <w:rsid w:val="00824B91"/>
    <w:rsid w:val="00847DF9"/>
    <w:rsid w:val="00887886"/>
    <w:rsid w:val="008F79AC"/>
    <w:rsid w:val="0096056C"/>
    <w:rsid w:val="009723A4"/>
    <w:rsid w:val="009B5E65"/>
    <w:rsid w:val="00A1319D"/>
    <w:rsid w:val="00A45408"/>
    <w:rsid w:val="00A777DF"/>
    <w:rsid w:val="00A81F63"/>
    <w:rsid w:val="00A86A1F"/>
    <w:rsid w:val="00AB4626"/>
    <w:rsid w:val="00AD110B"/>
    <w:rsid w:val="00AF1EBE"/>
    <w:rsid w:val="00B02239"/>
    <w:rsid w:val="00B57356"/>
    <w:rsid w:val="00B60F25"/>
    <w:rsid w:val="00B8704E"/>
    <w:rsid w:val="00B95541"/>
    <w:rsid w:val="00BC0F66"/>
    <w:rsid w:val="00C07244"/>
    <w:rsid w:val="00C2318F"/>
    <w:rsid w:val="00CA27C6"/>
    <w:rsid w:val="00CB65BB"/>
    <w:rsid w:val="00CE3F37"/>
    <w:rsid w:val="00D1084B"/>
    <w:rsid w:val="00D13CCD"/>
    <w:rsid w:val="00D6627B"/>
    <w:rsid w:val="00DA4E58"/>
    <w:rsid w:val="00DE7660"/>
    <w:rsid w:val="00DF7A31"/>
    <w:rsid w:val="00E15331"/>
    <w:rsid w:val="00E168D1"/>
    <w:rsid w:val="00EA30B8"/>
    <w:rsid w:val="00EB42EC"/>
    <w:rsid w:val="00EE5770"/>
    <w:rsid w:val="00F01EBC"/>
    <w:rsid w:val="00F21D3E"/>
    <w:rsid w:val="00F46CA7"/>
    <w:rsid w:val="00F9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C710"/>
  <w15:chartTrackingRefBased/>
  <w15:docId w15:val="{10C623A5-50A2-41D0-91F6-BECC88F7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М.А.</dc:creator>
  <cp:keywords/>
  <dc:description/>
  <cp:lastModifiedBy>dima</cp:lastModifiedBy>
  <cp:revision>2</cp:revision>
  <dcterms:created xsi:type="dcterms:W3CDTF">2024-12-20T08:29:00Z</dcterms:created>
  <dcterms:modified xsi:type="dcterms:W3CDTF">2024-12-20T08:29:00Z</dcterms:modified>
</cp:coreProperties>
</file>