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body>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pPr>
        <w:jc w:val="center"/>
      </w:pPr>
      <w:r>
        <w:rPr>
          <w:rFonts w:ascii="Times New Roman" w:hAnsi="Times New Roman"/>
          <w:b/>
          <w:sz w:val="60"/>
          <w:szCs w:val="60"/>
        </w:rPr>
        <w:t>Abundances</w:t>
      </w:r>
    </w:p>
    <w:p>
      <w:pPr>
        <w:jc w:val="center"/>
      </w:pPr>
      <w:r>
        <w:rPr>
          <w:rFonts w:ascii="Times New Roman" w:hAnsi="Times New Roman"/>
          <w:sz w:val="30"/>
          <w:szCs w:val="30"/>
        </w:rPr>
        <w:t>Database model documentation</w:t>
      </w:r>
    </w:p>
    <w:p>
      <w:pPr>
        <w:jc w:val="center"/>
      </w:pPr>
      <w:r>
        <w:rPr>
          <w:rFonts w:ascii="Times New Roman" w:hAnsi="Times New Roman"/>
          <w:sz w:val="20"/>
          <w:szCs w:val="20"/>
        </w:rPr>
        <w:t>Created with Vertabelo.com</w:t>
      </w:r>
    </w:p>
    <w:p>
      <w:r>
        <w:br w:type="page"/>
      </w:r>
    </w:p>
    <w:p>
      <w:r>
        <w:fldChar w:fldCharType="begin" w:dirty="true"/>
      </w:r>
      <w:r>
        <w:instrText xml:space="preserve">TOC \o "1-3" \h \z \u</w:instrText>
      </w:r>
      <w:r>
        <w:fldChar w:fldCharType="end"/>
      </w:r>
    </w:p>
    <w:p>
      <w:r>
        <w:br w:type="page"/>
      </w:r>
    </w:p>
    <w:p>
      <w:pPr>
        <w:pStyle w:val="Heading1"/>
      </w:pPr>
      <w:r>
        <w:t>1. Model details</w:t>
      </w:r>
    </w:p>
    <w:p>
      <w:r>
        <w:rPr>
          <w:b/>
          <w:sz w:val="20"/>
          <w:szCs w:val="20"/>
        </w:rPr>
        <w:t>Model name: </w:t>
      </w:r>
      <w:r>
        <w:rPr>
          <w:rFonts w:ascii="Courier New" w:hAnsi="Courier New"/>
          <w:sz w:val="20"/>
          <w:szCs w:val="20"/>
        </w:rPr>
        <w:t>
	 Abundances</w:t>
      </w:r>
    </w:p>
    <w:p>
      <w:r>
        <w:rPr>
          <w:b/>
          <w:sz w:val="20"/>
          <w:szCs w:val="20"/>
        </w:rPr>
        <w:t>Version: </w:t>
      </w:r>
      <w:r>
        <w:rPr>
          <w:rFonts w:ascii="Courier New" w:hAnsi="Courier New"/>
          <w:sz w:val="20"/>
          <w:szCs w:val="20"/>
        </w:rPr>
        <w:t>
	 2.4</w:t>
      </w:r>
    </w:p>
    <w:p>
      <w:r>
        <w:rPr>
          <w:b/>
          <w:sz w:val="20"/>
          <w:szCs w:val="20"/>
        </w:rPr>
        <w:t>Database engine: </w:t>
      </w:r>
      <w:r>
        <w:rPr>
          <w:rFonts w:ascii="Courier New" w:hAnsi="Courier New"/>
          <w:sz w:val="20"/>
          <w:szCs w:val="20"/>
        </w:rPr>
        <w:t>
	  PostgreSQL</w:t>
      </w:r>
    </w:p>
    <w:p>
      <w:r>
        <w:rPr>
          <w:b/>
          <w:sz w:val="20"/>
          <w:szCs w:val="20"/>
        </w:rPr>
        <w:t>Description: </w:t>
      </w:r>
      <w:r>
        <w:rPr>
          <w:rFonts w:ascii="Courier New" w:hAnsi="Courier New"/>
          <w:sz w:val="20"/>
          <w:szCs w:val="20"/>
        </w:rPr>
        <w:t>
	 The aim of the tables of ‘Accepted’ Abundance Estimates is (i) to collate information in a consistent way on abundance estimates accepted by the Scientific Committee for various purposes and (ii) to provide a simplified table of abundance estimates suitable as a broad overview for the Commission and the public.  See IWC 2014 (JCRM 15 suppl. p416-7) for further details on the objectives. i) Accepted abundance estimates for Scientific Committee The aim is to provide information consistently in a single table to represent an initial summary of the Committee’s current set of ‘accepted’ abundance estimates. Work will be required to examine the comments and commonalities in order make the tables more consistent. ii) Broad overview estimates for the Commission and general public IWC 2014 envisaged the broad overview estimates as a separate table.  They are included here in the same table as i) above but shown as being either on, or recommended for inclusion on, the IWC website.  The advantage of using a single table is that it is easier to maintain and less prone to error when updating as data do not need to be entered or changed in multiple places.  Different subsets can be used for different purposes. Estimates for disjoint areas are summed if they were from the same year or years close together in time. These combined estimates are highlighted in green. Approximate 95% confidence intervals for summed estimates are calculated from the CVs of the estimates and assuming a log-normal error distribution. In the interests of simplicity and a common approach, any additional variance estimate (available in only some cases) has been ignored for this purpose. Only the most recent estimates for a species and ocean basin are given for the broad overview. Information on trend should be considered as an additional step to be pursued in the future, recognising the need for more consideration inter alia of information from modelling exercises.  The tables include notes about early values of the estimates which were later updated (or corrected) to explain from where different values have come from and to ensure the most recent agreed values are used.</w:t>
      </w:r>
    </w:p>
    <w:p>
      <w:r>
        <w:br w:type="page"/>
      </w:r>
    </w:p>
    <w:p>
      <w:pPr>
        <w:pStyle w:val="Heading1"/>
      </w:pPr>
      <w:r>
        <w:t>2. Tables</w:t>
      </w:r>
    </w:p>
    <w:p>
      <w:pPr>
        <w:pStyle w:val="Heading2"/>
      </w:pPr>
      <w:r>
        <w:t>2.1. Table abundances</w:t>
      </w:r>
    </w:p>
    <w:p>
      <w:r>
        <w:rPr>
          <w:b/>
          <w:sz w:val="20"/>
          <w:szCs w:val="20"/>
        </w:rPr>
        <w:t>Description: </w:t>
      </w:r>
      <w:r>
        <w:rPr>
          <w:rFonts w:ascii="Courier New" w:hAnsi="Courier New"/>
          <w:sz w:val="20"/>
          <w:szCs w:val="20"/>
        </w:rPr>
        <w:t>
	 Main table holding all the abundance estimates</w:t>
      </w:r>
    </w:p>
    <w:p>
      <w:r>
        <w:rPr>
          <w:rFonts w:ascii="Times New Roman" w:hAnsi="Times New Roman"/>
          <w:sz w:val="20"/>
          <w:szCs w:val="20"/>
        </w:rPr>
        <w:t>2.1.1.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ocean_code</w:t>
            </w:r>
          </w:p>
        </w:tc>
        <w:tc>
          <w:tcPr>
            <w:tcW w:w="2000" w:type="dxa"/>
            <w:vAlign w:val="center"/>
          </w:tcPr>
          <w:p>
            <w:pPr>
              <w:jc w:val="left"/>
            </w:pPr>
            <w:r>
              <w:rPr>
                <w:rFonts w:ascii="Courier New" w:hAnsi="Courier New"/>
                <w:sz w:val="20"/>
                <w:szCs w:val="20"/>
              </w:rPr>
              <w:t>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species_code</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areas_area</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categories_category</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evaluation_extent</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AWMP_awmp_status</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year</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The year to which the estimate applies. This will typically be the year of the survey unless the estimate is based on multiple years or a population assessment model. Note: Consideration needs to be given as to whether estimates from such models are acceptable for this table, in contrast to, for example, mark-recapture-based estimates which do require model processing.</w:t>
            </w:r>
          </w:p>
        </w:tc>
      </w:tr>
      <w:tr>
        <w:trPr>
          <w:trHeight w:val="500"/>
        </w:trPr>
        <w:tc>
          <w:tcPr>
            <w:tcW w:w="2000" w:type="dxa"/>
            <w:vAlign w:val="center"/>
          </w:tcPr>
          <w:p>
            <w:pPr>
              <w:jc w:val="left"/>
            </w:pPr>
            <w:r>
              <w:rPr>
                <w:rFonts w:ascii="Courier New" w:hAnsi="Courier New"/>
                <w:sz w:val="20"/>
                <w:szCs w:val="20"/>
              </w:rPr>
              <w:t>year_start</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year_end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method_code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correction_code</w:t>
            </w:r>
          </w:p>
        </w:tc>
        <w:tc>
          <w:tcPr>
            <w:tcW w:w="2000" w:type="dxa"/>
            <w:vAlign w:val="center"/>
          </w:tcPr>
          <w:p>
            <w:pPr>
              <w:jc w:val="left"/>
            </w:pPr>
            <w:r>
              <w:rPr>
                <w:rFonts w:ascii="Courier New" w:hAnsi="Courier New"/>
                <w:sz w:val="20"/>
                <w:szCs w:val="20"/>
              </w:rPr>
              <w:t>varchar(3)</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estimate</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Estimate of 1+ abundance unless otherwise indicated. The original estimate, rather than the rounded value, is stored as it is useful when tracing the history of the estimate.</w:t>
            </w:r>
          </w:p>
        </w:tc>
      </w:tr>
      <w:tr>
        <w:trPr>
          <w:trHeight w:val="500"/>
        </w:trPr>
        <w:tc>
          <w:tcPr>
            <w:tcW w:w="2000" w:type="dxa"/>
            <w:vAlign w:val="center"/>
          </w:tcPr>
          <w:p>
            <w:pPr>
              <w:jc w:val="left"/>
            </w:pPr>
            <w:r>
              <w:rPr>
                <w:rFonts w:ascii="Courier New" w:hAnsi="Courier New"/>
                <w:sz w:val="20"/>
                <w:szCs w:val="20"/>
              </w:rPr>
              <w:t>cv</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CV of the estimate from survey sampling error only</w:t>
            </w:r>
          </w:p>
        </w:tc>
      </w:tr>
      <w:tr>
        <w:trPr>
          <w:trHeight w:val="500"/>
        </w:trPr>
        <w:tc>
          <w:tcPr>
            <w:tcW w:w="2000" w:type="dxa"/>
            <w:vAlign w:val="center"/>
          </w:tcPr>
          <w:p>
            <w:pPr>
              <w:jc w:val="left"/>
            </w:pPr>
            <w:r>
              <w:rPr>
                <w:rFonts w:ascii="Courier New" w:hAnsi="Courier New"/>
                <w:sz w:val="20"/>
                <w:szCs w:val="20"/>
              </w:rPr>
              <w:t>cvav</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CV with Additional Variance component arising from annual distributional changes added</w:t>
            </w:r>
          </w:p>
        </w:tc>
      </w:tr>
      <w:tr>
        <w:trPr>
          <w:trHeight w:val="500"/>
        </w:trPr>
        <w:tc>
          <w:tcPr>
            <w:tcW w:w="2000" w:type="dxa"/>
            <w:vAlign w:val="center"/>
          </w:tcPr>
          <w:p>
            <w:pPr>
              <w:jc w:val="left"/>
            </w:pPr>
            <w:r>
              <w:rPr>
                <w:rFonts w:ascii="Courier New" w:hAnsi="Courier New"/>
                <w:sz w:val="20"/>
                <w:szCs w:val="20"/>
              </w:rPr>
              <w:t>calculated_cv</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sd</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approximate95cil</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lower limit of approximate 95% confidence intervals (or equivalent) rounded to three significant figures of the upper limit</w:t>
            </w:r>
          </w:p>
        </w:tc>
      </w:tr>
      <w:tr>
        <w:trPr>
          <w:trHeight w:val="500"/>
        </w:trPr>
        <w:tc>
          <w:tcPr>
            <w:tcW w:w="2000" w:type="dxa"/>
            <w:vAlign w:val="center"/>
          </w:tcPr>
          <w:p>
            <w:pPr>
              <w:jc w:val="left"/>
            </w:pPr>
            <w:r>
              <w:rPr>
                <w:rFonts w:ascii="Courier New" w:hAnsi="Courier New"/>
                <w:sz w:val="20"/>
                <w:szCs w:val="20"/>
              </w:rPr>
              <w:t>approximate95ciu</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upper limit of approximate 95% confidence intervals (or equivalent) rounded to three significant figures of the upper limit</w:t>
            </w:r>
          </w:p>
        </w:tc>
      </w:tr>
      <w:tr>
        <w:trPr>
          <w:trHeight w:val="500"/>
        </w:trPr>
        <w:tc>
          <w:tcPr>
            <w:tcW w:w="2000" w:type="dxa"/>
            <w:vAlign w:val="center"/>
          </w:tcPr>
          <w:p>
            <w:pPr>
              <w:jc w:val="left"/>
            </w:pPr>
            <w:r>
              <w:rPr>
                <w:rFonts w:ascii="Courier New" w:hAnsi="Courier New"/>
                <w:sz w:val="20"/>
                <w:szCs w:val="20"/>
              </w:rPr>
              <w:t>reported95cil</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reported95ciu</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clalculated_pl</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calculated_pu</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timing</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g0</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mode_code</w:t>
            </w:r>
          </w:p>
        </w:tc>
        <w:tc>
          <w:tcPr>
            <w:tcW w:w="2000" w:type="dxa"/>
            <w:vAlign w:val="center"/>
          </w:tcPr>
          <w:p>
            <w:pPr>
              <w:jc w:val="left"/>
            </w:pPr>
            <w:r>
              <w:rPr>
                <w:rFonts w:ascii="Courier New" w:hAnsi="Courier New"/>
                <w:sz w:val="20"/>
                <w:szCs w:val="20"/>
              </w:rPr>
              <w:t>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coverage</w:t>
            </w:r>
          </w:p>
        </w:tc>
        <w:tc>
          <w:tcPr>
            <w:tcW w:w="2000" w:type="dxa"/>
            <w:vAlign w:val="center"/>
          </w:tcPr>
          <w:p>
            <w:pPr>
              <w:jc w:val="left"/>
            </w:pPr>
            <w:r>
              <w:rPr>
                <w:rFonts w:ascii="Courier New" w:hAnsi="Courier New"/>
                <w:sz w:val="20"/>
                <w:szCs w:val="20"/>
              </w:rPr>
              <w:t>decimal(2,2)</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survey area coverage</w:t>
            </w:r>
          </w:p>
        </w:tc>
      </w:tr>
      <w:tr>
        <w:trPr>
          <w:trHeight w:val="500"/>
        </w:trPr>
        <w:tc>
          <w:tcPr>
            <w:tcW w:w="2000" w:type="dxa"/>
            <w:vAlign w:val="center"/>
          </w:tcPr>
          <w:p>
            <w:pPr>
              <w:jc w:val="left"/>
            </w:pPr>
            <w:r>
              <w:rPr>
                <w:rFonts w:ascii="Courier New" w:hAnsi="Courier New"/>
                <w:sz w:val="20"/>
                <w:szCs w:val="20"/>
              </w:rPr>
              <w:t>type_code</w:t>
            </w:r>
          </w:p>
        </w:tc>
        <w:tc>
          <w:tcPr>
            <w:tcW w:w="2000" w:type="dxa"/>
            <w:vAlign w:val="center"/>
          </w:tcPr>
          <w:p>
            <w:pPr>
              <w:jc w:val="left"/>
            </w:pPr>
            <w:r>
              <w:rPr>
                <w:rFonts w:ascii="Courier New" w:hAnsi="Courier New"/>
                <w:sz w:val="20"/>
                <w:szCs w:val="20"/>
              </w:rPr>
              <w:t>char(1)</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program_name</w:t>
            </w:r>
          </w:p>
        </w:tc>
        <w:tc>
          <w:tcPr>
            <w:tcW w:w="2000" w:type="dxa"/>
            <w:vAlign w:val="center"/>
          </w:tcPr>
          <w:p>
            <w:pPr>
              <w:jc w:val="left"/>
            </w:pPr>
            <w:r>
              <w:rPr>
                <w:rFonts w:ascii="Courier New" w:hAnsi="Courier New"/>
                <w:sz w:val="20"/>
                <w:szCs w:val="20"/>
              </w:rPr>
              <w:t>varchar(25)</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notes</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Brief comments on survey and any difficulties encountered</w:t>
            </w:r>
          </w:p>
        </w:tc>
      </w:tr>
      <w:tr>
        <w:trPr>
          <w:trHeight w:val="500"/>
        </w:trPr>
        <w:tc>
          <w:tcPr>
            <w:tcW w:w="2000" w:type="dxa"/>
            <w:vAlign w:val="center"/>
          </w:tcPr>
          <w:p>
            <w:pPr>
              <w:jc w:val="left"/>
            </w:pPr>
            <w:r>
              <w:rPr>
                <w:rFonts w:ascii="Courier New" w:hAnsi="Courier New"/>
                <w:sz w:val="20"/>
                <w:szCs w:val="20"/>
              </w:rPr>
              <w:t>suspended</w:t>
            </w:r>
          </w:p>
        </w:tc>
        <w:tc>
          <w:tcPr>
            <w:tcW w:w="2000" w:type="dxa"/>
            <w:vAlign w:val="center"/>
          </w:tcPr>
          <w:p>
            <w:pPr>
              <w:jc w:val="left"/>
            </w:pPr>
            <w:r>
              <w:rPr>
                <w:rFonts w:ascii="Courier New" w:hAnsi="Courier New"/>
                <w:sz w:val="20"/>
                <w:szCs w:val="20"/>
              </w:rPr>
              <w:t>char(1)</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Y(yes) or N (no)</w:t>
            </w:r>
          </w:p>
        </w:tc>
      </w:tr>
      <w:tr>
        <w:trPr>
          <w:trHeight w:val="500"/>
        </w:trPr>
        <w:tc>
          <w:tcPr>
            <w:tcW w:w="2000" w:type="dxa"/>
            <w:vAlign w:val="center"/>
          </w:tcPr>
          <w:p>
            <w:pPr>
              <w:jc w:val="left"/>
            </w:pPr>
            <w:r>
              <w:rPr>
                <w:rFonts w:ascii="Courier New" w:hAnsi="Courier New"/>
                <w:sz w:val="20"/>
                <w:szCs w:val="20"/>
              </w:rPr>
              <w:t>date_added</w:t>
            </w:r>
          </w:p>
        </w:tc>
        <w:tc>
          <w:tcPr>
            <w:tcW w:w="2000" w:type="dxa"/>
            <w:vAlign w:val="center"/>
          </w:tcPr>
          <w:p>
            <w:pPr>
              <w:jc w:val="left"/>
            </w:pPr>
            <w:r>
              <w:rPr>
                <w:rFonts w:ascii="Courier New" w:hAnsi="Courier New"/>
                <w:sz w:val="20"/>
                <w:szCs w:val="20"/>
              </w:rPr>
              <w:t>date</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date_modified</w:t>
            </w:r>
          </w:p>
        </w:tc>
        <w:tc>
          <w:tcPr>
            <w:tcW w:w="2000" w:type="dxa"/>
            <w:vAlign w:val="center"/>
          </w:tcPr>
          <w:p>
            <w:pPr>
              <w:jc w:val="left"/>
            </w:pPr>
            <w:r>
              <w:rPr>
                <w:rFonts w:ascii="Courier New" w:hAnsi="Courier New"/>
                <w:sz w:val="20"/>
                <w:szCs w:val="20"/>
              </w:rPr>
              <w:t>date</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website</w:t>
            </w:r>
          </w:p>
        </w:tc>
        <w:tc>
          <w:tcPr>
            <w:tcW w:w="2000" w:type="dxa"/>
            <w:vAlign w:val="center"/>
          </w:tcPr>
          <w:p>
            <w:pPr>
              <w:jc w:val="left"/>
            </w:pPr>
            <w:r>
              <w:rPr>
                <w:rFonts w:ascii="Courier New" w:hAnsi="Courier New"/>
                <w:sz w:val="20"/>
                <w:szCs w:val="20"/>
              </w:rPr>
              <w:t>char(1)</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should the value be listed on the website? Y (yes) or N (no) values</w:t>
            </w:r>
          </w:p>
        </w:tc>
      </w:tr>
    </w:tbl>
    <w:p>
      <w:r>
        <w:rPr>
          <w:rFonts w:ascii="Times New Roman" w:hAnsi="Times New Roman"/>
          <w:sz w:val="20"/>
          <w:szCs w:val="20"/>
        </w:rPr>
        <w:t/>
      </w:r>
    </w:p>
    <w:p>
      <w:pPr>
        <w:pStyle w:val="Heading2"/>
      </w:pPr>
      <w:r>
        <w:t>2.2. Table ocean</w:t>
      </w:r>
    </w:p>
    <w:p>
      <w:r>
        <w:rPr>
          <w:b/>
          <w:sz w:val="20"/>
          <w:szCs w:val="20"/>
        </w:rPr>
        <w:t>Description: </w:t>
      </w:r>
      <w:r>
        <w:rPr>
          <w:rFonts w:ascii="Courier New" w:hAnsi="Courier New"/>
          <w:sz w:val="20"/>
          <w:szCs w:val="20"/>
        </w:rPr>
        <w:t>
	 ocean basin</w:t>
      </w:r>
    </w:p>
    <w:p>
      <w:r>
        <w:rPr>
          <w:rFonts w:ascii="Times New Roman" w:hAnsi="Times New Roman"/>
          <w:sz w:val="20"/>
          <w:szCs w:val="20"/>
        </w:rPr>
        <w:t>2.2.1.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name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geom</w:t>
            </w:r>
          </w:p>
        </w:tc>
        <w:tc>
          <w:tcPr>
            <w:tcW w:w="2000" w:type="dxa"/>
            <w:vAlign w:val="center"/>
          </w:tcPr>
          <w:p>
            <w:pPr>
              <w:jc w:val="left"/>
            </w:pPr>
            <w:r>
              <w:rPr>
                <w:rFonts w:ascii="Courier New" w:hAnsi="Courier New"/>
                <w:sz w:val="20"/>
                <w:szCs w:val="20"/>
              </w:rPr>
              <w:t>geometry</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2.3. Table species</w:t>
      </w:r>
    </w:p>
    <w:p>
      <w:r>
        <w:rPr>
          <w:b/>
          <w:sz w:val="20"/>
          <w:szCs w:val="20"/>
        </w:rPr>
        <w:t>Description: </w:t>
      </w:r>
      <w:r>
        <w:rPr>
          <w:rFonts w:ascii="Courier New" w:hAnsi="Courier New"/>
          <w:sz w:val="20"/>
          <w:szCs w:val="20"/>
        </w:rPr>
        <w:t>
	 species table</w:t>
      </w:r>
    </w:p>
    <w:p>
      <w:r>
        <w:rPr>
          <w:rFonts w:ascii="Times New Roman" w:hAnsi="Times New Roman"/>
          <w:sz w:val="20"/>
          <w:szCs w:val="20"/>
        </w:rPr>
        <w:t>2.3.1.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common_name</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latin_name</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2.4. Table areas</w:t>
      </w:r>
    </w:p>
    <w:p>
      <w:r>
        <w:rPr>
          <w:b/>
          <w:sz w:val="20"/>
          <w:szCs w:val="20"/>
        </w:rPr>
        <w:t>Description: </w:t>
      </w:r>
      <w:r>
        <w:rPr>
          <w:rFonts w:ascii="Courier New" w:hAnsi="Courier New"/>
          <w:sz w:val="20"/>
          <w:szCs w:val="20"/>
        </w:rPr>
        <w:t>
	 If Areas are identified in an RMP context these are used. 
	If estimates pertaining to only a portion known range are agreed to be included (e.g. for AWMP) a comment should be included to show that this constitutes only part of the population.
	Otherwise broad categories (e.g. Schedule management areas) are used and we indicate whether coverage is total or partial.</w:t>
      </w:r>
    </w:p>
    <w:p>
      <w:r>
        <w:rPr>
          <w:rFonts w:ascii="Times New Roman" w:hAnsi="Times New Roman"/>
          <w:sz w:val="20"/>
          <w:szCs w:val="20"/>
        </w:rPr>
        <w:t>2.4.1.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area</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varchar(200)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geom</w:t>
            </w:r>
          </w:p>
        </w:tc>
        <w:tc>
          <w:tcPr>
            <w:tcW w:w="2000" w:type="dxa"/>
            <w:vAlign w:val="center"/>
          </w:tcPr>
          <w:p>
            <w:pPr>
              <w:jc w:val="left"/>
            </w:pPr>
            <w:r>
              <w:rPr>
                <w:rFonts w:ascii="Courier New" w:hAnsi="Courier New"/>
                <w:sz w:val="20"/>
                <w:szCs w:val="20"/>
              </w:rPr>
              <w:t>geometry</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2.5. Table categories</w:t>
      </w:r>
    </w:p>
    <w:p>
      <w:r>
        <w:rPr>
          <w:b/>
          <w:sz w:val="20"/>
          <w:szCs w:val="20"/>
        </w:rPr>
        <w:t>Description: </w:t>
      </w:r>
      <w:r>
        <w:rPr>
          <w:rFonts w:ascii="Courier New" w:hAnsi="Courier New"/>
          <w:sz w:val="20"/>
          <w:szCs w:val="20"/>
        </w:rPr>
        <w:t>
	 categories indicate how the estimates can be interpreted and used for assessments, management or other purposes</w:t>
      </w:r>
    </w:p>
    <w:p>
      <w:r>
        <w:rPr>
          <w:rFonts w:ascii="Times New Roman" w:hAnsi="Times New Roman"/>
          <w:sz w:val="20"/>
          <w:szCs w:val="20"/>
        </w:rPr>
        <w:t>2.5.1.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category</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2.6. Table evaluation</w:t>
      </w:r>
    </w:p>
    <w:p>
      <w:r>
        <w:rPr>
          <w:b/>
          <w:sz w:val="20"/>
          <w:szCs w:val="20"/>
        </w:rPr>
        <w:t>Description: </w:t>
      </w:r>
      <w:r>
        <w:rPr>
          <w:rFonts w:ascii="Courier New" w:hAnsi="Courier New"/>
          <w:sz w:val="20"/>
          <w:szCs w:val="20"/>
        </w:rPr>
        <w:t>
	 the degree to which the estimate was considered originally by the sub-committee concerned</w:t>
      </w:r>
    </w:p>
    <w:p>
      <w:r>
        <w:rPr>
          <w:rFonts w:ascii="Times New Roman" w:hAnsi="Times New Roman"/>
          <w:sz w:val="20"/>
          <w:szCs w:val="20"/>
        </w:rPr>
        <w:t>2.6.1.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extent</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2.7. Table AWMP</w:t>
      </w:r>
    </w:p>
    <w:p>
      <w:r>
        <w:rPr>
          <w:b/>
          <w:sz w:val="20"/>
          <w:szCs w:val="20"/>
        </w:rPr>
        <w:t>Description: </w:t>
      </w:r>
      <w:r>
        <w:rPr>
          <w:rFonts w:ascii="Courier New" w:hAnsi="Courier New"/>
          <w:sz w:val="20"/>
          <w:szCs w:val="20"/>
        </w:rPr>
        <w:t>
	 status in RMP or AWMP trials</w:t>
      </w:r>
    </w:p>
    <w:p>
      <w:r>
        <w:rPr>
          <w:rFonts w:ascii="Times New Roman" w:hAnsi="Times New Roman"/>
          <w:sz w:val="20"/>
          <w:szCs w:val="20"/>
        </w:rPr>
        <w:t>2.7.1.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awmp_status</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2.8. Table method</w:t>
      </w:r>
    </w:p>
    <w:p>
      <w:r>
        <w:rPr>
          <w:rFonts w:ascii="Times New Roman" w:hAnsi="Times New Roman"/>
          <w:sz w:val="20"/>
          <w:szCs w:val="20"/>
        </w:rPr>
        <w:t>2.8.1.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varchar(200)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2.9. Table correction</w:t>
      </w:r>
    </w:p>
    <w:p>
      <w:r>
        <w:rPr>
          <w:b/>
          <w:sz w:val="20"/>
          <w:szCs w:val="20"/>
        </w:rPr>
        <w:t>Description: </w:t>
      </w:r>
      <w:r>
        <w:rPr>
          <w:rFonts w:ascii="Courier New" w:hAnsi="Courier New"/>
          <w:sz w:val="20"/>
          <w:szCs w:val="20"/>
        </w:rPr>
        <w:t>
	 Where applicable, we indicate if the estimate is corrected and what for</w:t>
      </w:r>
    </w:p>
    <w:p>
      <w:r>
        <w:rPr>
          <w:rFonts w:ascii="Times New Roman" w:hAnsi="Times New Roman"/>
          <w:sz w:val="20"/>
          <w:szCs w:val="20"/>
        </w:rPr>
        <w:t>2.9.1.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varchar(3)</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2.10. Table mode</w:t>
      </w:r>
    </w:p>
    <w:p>
      <w:r>
        <w:rPr>
          <w:rFonts w:ascii="Times New Roman" w:hAnsi="Times New Roman"/>
          <w:sz w:val="20"/>
          <w:szCs w:val="20"/>
        </w:rPr>
        <w:t>2.10.1.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2.11. Table type</w:t>
      </w:r>
    </w:p>
    <w:p>
      <w:r>
        <w:rPr>
          <w:rFonts w:ascii="Times New Roman" w:hAnsi="Times New Roman"/>
          <w:sz w:val="20"/>
          <w:szCs w:val="20"/>
        </w:rPr>
        <w:t>2.11.1.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char(1)</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2.12. Table references</w:t>
      </w:r>
    </w:p>
    <w:p>
      <w:r>
        <w:rPr>
          <w:rFonts w:ascii="Times New Roman" w:hAnsi="Times New Roman"/>
          <w:sz w:val="20"/>
          <w:szCs w:val="20"/>
        </w:rPr>
        <w:t>2.12.1.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zotero_id</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full_ref</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2.13. Table references_abundances</w:t>
      </w:r>
    </w:p>
    <w:p>
      <w:r>
        <w:rPr>
          <w:rFonts w:ascii="Times New Roman" w:hAnsi="Times New Roman"/>
          <w:sz w:val="20"/>
          <w:szCs w:val="20"/>
        </w:rPr>
        <w:t>2.13.1.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abundances_id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references_id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2.14. Table program</w:t>
      </w:r>
    </w:p>
    <w:p>
      <w:r>
        <w:rPr>
          <w:b/>
          <w:sz w:val="20"/>
          <w:szCs w:val="20"/>
        </w:rPr>
        <w:t>Description: </w:t>
      </w:r>
      <w:r>
        <w:rPr>
          <w:rFonts w:ascii="Courier New" w:hAnsi="Courier New"/>
          <w:sz w:val="20"/>
          <w:szCs w:val="20"/>
        </w:rPr>
        <w:t>
	 Survey program/organiser</w:t>
      </w:r>
    </w:p>
    <w:p>
      <w:r>
        <w:rPr>
          <w:rFonts w:ascii="Times New Roman" w:hAnsi="Times New Roman"/>
          <w:sz w:val="20"/>
          <w:szCs w:val="20"/>
        </w:rPr>
        <w:t>2.14.1.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name</w:t>
            </w:r>
          </w:p>
        </w:tc>
        <w:tc>
          <w:tcPr>
            <w:tcW w:w="2000" w:type="dxa"/>
            <w:vAlign w:val="center"/>
          </w:tcPr>
          <w:p>
            <w:pPr>
              <w:jc w:val="left"/>
            </w:pPr>
            <w:r>
              <w:rPr>
                <w:rFonts w:ascii="Courier New" w:hAnsi="Courier New"/>
                <w:sz w:val="20"/>
                <w:szCs w:val="20"/>
              </w:rPr>
              <w:t>varchar(25)</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2.15. Table timeseries</w:t>
      </w:r>
    </w:p>
    <w:p>
      <w:r>
        <w:rPr>
          <w:b/>
          <w:sz w:val="20"/>
          <w:szCs w:val="20"/>
        </w:rPr>
        <w:t>Description: </w:t>
      </w:r>
      <w:r>
        <w:rPr>
          <w:rFonts w:ascii="Courier New" w:hAnsi="Courier New"/>
          <w:sz w:val="20"/>
          <w:szCs w:val="20"/>
        </w:rPr>
        <w:t>
	 the table shows if there is a time series linked to the estimate
	Note regarding tabling of time series:
	IWC 2021:  J. Cetacean Res. Manage (Supp) 22: 1-122 p59
	The Committee noted that where a time series of abundance estimates is provided, it has adopted the practice of tabling the most recent estimate and one earlier estimate sufficiently long in the past that the two are not strongly correlated. However, it was recognised that in cases where a long time series of abundance estimates is provided, choosing the earliest year for which there is an acceptable estimate may not always be the best choice and alternatives (e.g. selecting an estimate from 10 years prior to the most recent) should be considered next year.</w:t>
      </w:r>
    </w:p>
    <w:p>
      <w:r>
        <w:rPr>
          <w:rFonts w:ascii="Times New Roman" w:hAnsi="Times New Roman"/>
          <w:sz w:val="20"/>
          <w:szCs w:val="20"/>
        </w:rPr>
        <w:t>2.15.1.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location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where the whole time series is kept. in the future those time series will be part of the database</w:t>
            </w:r>
          </w:p>
        </w:tc>
      </w:tr>
      <w:tr>
        <w:trPr>
          <w:trHeight w:val="500"/>
        </w:trPr>
        <w:tc>
          <w:tcPr>
            <w:tcW w:w="2000" w:type="dxa"/>
            <w:vAlign w:val="center"/>
          </w:tcPr>
          <w:p>
            <w:pPr>
              <w:jc w:val="left"/>
            </w:pPr>
            <w:r>
              <w:rPr>
                <w:rFonts w:ascii="Courier New" w:hAnsi="Courier New"/>
                <w:sz w:val="20"/>
                <w:szCs w:val="20"/>
              </w:rPr>
              <w:t>abundances_id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br w:type="page"/>
      </w:r>
    </w:p>
    <w:p>
      <w:pPr>
        <w:pStyle w:val="Heading1"/>
      </w:pPr>
      <w:r>
        <w:t>3. References</w:t>
      </w:r>
    </w:p>
    <w:p>
      <w:pPr>
        <w:pStyle w:val="Heading2"/>
      </w:pPr>
      <w:r>
        <w:t>3.1. Reference abundances_ocean</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ocean</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ocean_code</w:t>
            </w:r>
          </w:p>
        </w:tc>
      </w:tr>
    </w:tbl>
    <w:p>
      <w:r>
        <w:rPr>
          <w:rFonts w:ascii="Times New Roman" w:hAnsi="Times New Roman"/>
          <w:sz w:val="20"/>
          <w:szCs w:val="20"/>
        </w:rPr>
        <w:t/>
      </w:r>
    </w:p>
    <w:p>
      <w:pPr>
        <w:pStyle w:val="Heading2"/>
      </w:pPr>
      <w:r>
        <w:t>3.2. Reference abundances_species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species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species_code</w:t>
            </w:r>
          </w:p>
        </w:tc>
      </w:tr>
    </w:tbl>
    <w:p>
      <w:r>
        <w:rPr>
          <w:rFonts w:ascii="Times New Roman" w:hAnsi="Times New Roman"/>
          <w:sz w:val="20"/>
          <w:szCs w:val="20"/>
        </w:rPr>
        <w:t/>
      </w:r>
    </w:p>
    <w:p>
      <w:pPr>
        <w:pStyle w:val="Heading2"/>
      </w:pPr>
      <w:r>
        <w:t>3.3. Reference abundances_areas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areas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area</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areas_area</w:t>
            </w:r>
          </w:p>
        </w:tc>
      </w:tr>
    </w:tbl>
    <w:p>
      <w:r>
        <w:rPr>
          <w:rFonts w:ascii="Times New Roman" w:hAnsi="Times New Roman"/>
          <w:sz w:val="20"/>
          <w:szCs w:val="20"/>
        </w:rPr>
        <w:t/>
      </w:r>
    </w:p>
    <w:p>
      <w:pPr>
        <w:pStyle w:val="Heading2"/>
      </w:pPr>
      <w:r>
        <w:t>3.4. Reference abundances_categories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categories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category</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categories_category</w:t>
            </w:r>
          </w:p>
        </w:tc>
      </w:tr>
    </w:tbl>
    <w:p>
      <w:r>
        <w:rPr>
          <w:rFonts w:ascii="Times New Roman" w:hAnsi="Times New Roman"/>
          <w:sz w:val="20"/>
          <w:szCs w:val="20"/>
        </w:rPr>
        <w:t/>
      </w:r>
    </w:p>
    <w:p>
      <w:pPr>
        <w:pStyle w:val="Heading2"/>
      </w:pPr>
      <w:r>
        <w:t>3.5. Reference abundances_evaluation</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evaluation</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extent</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evaluation_extent</w:t>
            </w:r>
          </w:p>
        </w:tc>
      </w:tr>
    </w:tbl>
    <w:p>
      <w:r>
        <w:rPr>
          <w:rFonts w:ascii="Times New Roman" w:hAnsi="Times New Roman"/>
          <w:sz w:val="20"/>
          <w:szCs w:val="20"/>
        </w:rPr>
        <w:t/>
      </w:r>
    </w:p>
    <w:p>
      <w:pPr>
        <w:pStyle w:val="Heading2"/>
      </w:pPr>
      <w:r>
        <w:t>3.6. Reference abundances_AWMP</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AWMP</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awmp_status</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AWMP_awmp_status</w:t>
            </w:r>
          </w:p>
        </w:tc>
      </w:tr>
    </w:tbl>
    <w:p>
      <w:r>
        <w:rPr>
          <w:rFonts w:ascii="Times New Roman" w:hAnsi="Times New Roman"/>
          <w:sz w:val="20"/>
          <w:szCs w:val="20"/>
        </w:rPr>
        <w:t/>
      </w:r>
    </w:p>
    <w:p>
      <w:pPr>
        <w:pStyle w:val="Heading2"/>
      </w:pPr>
      <w:r>
        <w:t>3.7. Reference abundances_method</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method</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method_code</w:t>
            </w:r>
          </w:p>
        </w:tc>
      </w:tr>
    </w:tbl>
    <w:p>
      <w:r>
        <w:rPr>
          <w:rFonts w:ascii="Times New Roman" w:hAnsi="Times New Roman"/>
          <w:sz w:val="20"/>
          <w:szCs w:val="20"/>
        </w:rPr>
        <w:t/>
      </w:r>
    </w:p>
    <w:p>
      <w:pPr>
        <w:pStyle w:val="Heading2"/>
      </w:pPr>
      <w:r>
        <w:t>3.8. Reference abundances_correction</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correction</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correction_code</w:t>
            </w:r>
          </w:p>
        </w:tc>
      </w:tr>
    </w:tbl>
    <w:p>
      <w:r>
        <w:rPr>
          <w:rFonts w:ascii="Times New Roman" w:hAnsi="Times New Roman"/>
          <w:sz w:val="20"/>
          <w:szCs w:val="20"/>
        </w:rPr>
        <w:t/>
      </w:r>
    </w:p>
    <w:p>
      <w:pPr>
        <w:pStyle w:val="Heading2"/>
      </w:pPr>
      <w:r>
        <w:t>3.9. Reference abundances_mode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mode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mode_code</w:t>
            </w:r>
          </w:p>
        </w:tc>
      </w:tr>
    </w:tbl>
    <w:p>
      <w:r>
        <w:rPr>
          <w:rFonts w:ascii="Times New Roman" w:hAnsi="Times New Roman"/>
          <w:sz w:val="20"/>
          <w:szCs w:val="20"/>
        </w:rPr>
        <w:t/>
      </w:r>
    </w:p>
    <w:p>
      <w:pPr>
        <w:pStyle w:val="Heading2"/>
      </w:pPr>
      <w:r>
        <w:t>3.10. Reference abundances_type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type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type_code</w:t>
            </w:r>
          </w:p>
        </w:tc>
      </w:tr>
    </w:tbl>
    <w:p>
      <w:r>
        <w:rPr>
          <w:rFonts w:ascii="Times New Roman" w:hAnsi="Times New Roman"/>
          <w:sz w:val="20"/>
          <w:szCs w:val="20"/>
        </w:rPr>
        <w:t/>
      </w:r>
    </w:p>
    <w:p>
      <w:pPr>
        <w:pStyle w:val="Heading2"/>
      </w:pPr>
      <w:r>
        <w:t>3.11. Reference references_abundances_abundances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abundances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references_abundances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abundances_id</w:t>
            </w:r>
          </w:p>
        </w:tc>
      </w:tr>
    </w:tbl>
    <w:p>
      <w:r>
        <w:rPr>
          <w:rFonts w:ascii="Times New Roman" w:hAnsi="Times New Roman"/>
          <w:sz w:val="20"/>
          <w:szCs w:val="20"/>
        </w:rPr>
        <w:t/>
      </w:r>
    </w:p>
    <w:p>
      <w:pPr>
        <w:pStyle w:val="Heading2"/>
      </w:pPr>
      <w:r>
        <w:t>3.12. Reference references_abundances_references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references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references_abundances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references_id</w:t>
            </w:r>
          </w:p>
        </w:tc>
      </w:tr>
    </w:tbl>
    <w:p>
      <w:r>
        <w:rPr>
          <w:rFonts w:ascii="Times New Roman" w:hAnsi="Times New Roman"/>
          <w:sz w:val="20"/>
          <w:szCs w:val="20"/>
        </w:rPr>
        <w:t/>
      </w:r>
    </w:p>
    <w:p>
      <w:pPr>
        <w:pStyle w:val="Heading2"/>
      </w:pPr>
      <w:r>
        <w:t>3.13. Reference abundances_program</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program</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name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program_name</w:t>
            </w:r>
          </w:p>
        </w:tc>
      </w:tr>
    </w:tbl>
    <w:p>
      <w:r>
        <w:rPr>
          <w:rFonts w:ascii="Times New Roman" w:hAnsi="Times New Roman"/>
          <w:sz w:val="20"/>
          <w:szCs w:val="20"/>
        </w:rPr>
        <w:t/>
      </w:r>
    </w:p>
    <w:p>
      <w:pPr>
        <w:pStyle w:val="Heading2"/>
      </w:pPr>
      <w:r>
        <w:t>3.14. Reference timeseries_abundances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abundances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timeseries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abundances_id</w:t>
            </w:r>
          </w:p>
        </w:tc>
      </w:tr>
    </w:tbl>
    <w:p>
      <w:r>
        <w:rPr>
          <w:rFonts w:ascii="Times New Roman" w:hAnsi="Times New Roman"/>
          <w:sz w:val="20"/>
          <w:szCs w:val="20"/>
        </w:rPr>
        <w:t/>
      </w:r>
    </w:p>
    <w:p>
      <w:r>
        <w:br w:type="page"/>
      </w:r>
    </w:p>
    <w:sectPr>
      <w:footerReference w:type="default" r:id="rId3"/>
      <w:headerReference w:type="default" r:id="rId4"/>
      <w:pgSz w:w="11907" w:h="16839" w:code="9"/>
      <w:pgMar w:top="1440" w:right="1440" w:bottom="1440" w:left="144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tbl>
    <w:tblPr>
      <w:tblStyle w:val="TableGrid"/>
      <w:tblW w:w="0" w:type="auto"/>
      <w:jc w:val="center"/>
      <w:tblBorders>
        <w:top w:val="nil"/>
        <w:left w:val="nil"/>
        <w:bottom w:val="nil"/>
        <w:right w:val="nil"/>
        <w:insideH w:val="nil"/>
        <w:insideV w:val="nil"/>
      </w:tblBorders>
      <w:tblLook w:val="04A0"/>
    </w:tblPr>
    <w:tblGrid>
      <w:gridCol w:w="4513"/>
      <w:gridCol w:w="4513"/>
    </w:tblGrid>
    <w:tr>
      <w:trPr>
        <w:trHeight w:val="500"/>
      </w:trPr>
      <w:tc>
        <w:tcPr>
          <w:tcW w:w="4513" w:type="dxa"/>
          <w:vAlign w:val="center"/>
        </w:tcPr>
        <w:p>
          <w:r>
            <w:rPr>
              <w:rFonts w:ascii="Times New Roman" w:hAnsi="Times New Roman"/>
              <w:sz w:val="20"/>
              <w:szCs w:val="20"/>
            </w:rPr>
            <w:t>Created with Vertabelo.com</w:t>
          </w:r>
        </w:p>
      </w:tc>
      <w:tc>
        <w:tcPr>
          <w:tcW w:w="4513" w:type="dxa"/>
          <w:vAlign w:val="center"/>
        </w:tcPr>
        <w:p>
          <w:pPr>
            <w:jc w:val="right"/>
          </w:pPr>
          <w:r>
            <w:fldChar w:fldCharType="begin" w:dirty="true"/>
          </w:r>
          <w:r>
            <w:instrText xml:space="preserve"> PAGE   \* MERGEFORMAT </w:instrText>
          </w:r>
          <w:r>
            <w:fldChar w:fldCharType="end"/>
          </w:r>
        </w:p>
      </w:tc>
    </w:tr>
  </w:tbl>
</w:ftr>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jc w:val="left"/>
    </w:pPr>
    <w:r>
      <w:rPr>
        <w:rFonts w:ascii="Times New Roman" w:hAnsi="Times New Roman"/>
        <w:sz w:val="20"/>
        <w:szCs w:val="20"/>
      </w:rPr>
      <w:t>Database model: Abundances, postgresql</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header.xml" Type="http://schemas.openxmlformats.org/officeDocument/2006/relationships/header"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