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left"/>
      </w:pPr>
      <w:r>
        <w:rPr>
          <w:rFonts w:ascii="Arial" w:cs="Arial" w:eastAsia="Arial" w:hAnsi="Arial"/>
          <w:b/>
          <w:bCs/>
          <w:color w:val="1F3864"/>
          <w:sz w:val="44"/>
          <w:szCs w:val="44"/>
        </w:rPr>
        <w:t xml:space="preserve">Software Requirements Specification</w:t>
      </w:r>
    </w:p>
    <w:p>
      <w:pPr>
        <w:spacing w:after="600"/>
      </w:pPr>
      <w:r>
        <w:rPr>
          <w:rFonts w:ascii="Arial" w:cs="Arial" w:eastAsia="Arial" w:hAnsi="Arial"/>
          <w:color w:val="404040"/>
          <w:sz w:val="30"/>
          <w:szCs w:val="30"/>
        </w:rPr>
        <w:t xml:space="preserve">Hospital Management System</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tblGrid>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r>
              <w:rPr>
                <w:rFonts w:ascii="Arial" w:cs="Arial" w:eastAsia="Arial" w:hAnsi="Arial"/>
                <w:b/>
                <w:bCs/>
                <w:sz w:val="18"/>
                <w:szCs w:val="18"/>
              </w:rPr>
              <w:t xml:space="preserve">Project</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Hospital Management System</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r>
              <w:rPr>
                <w:rFonts w:ascii="Arial" w:cs="Arial" w:eastAsia="Arial" w:hAnsi="Arial"/>
                <w:b/>
                <w:bCs/>
                <w:sz w:val="18"/>
                <w:szCs w:val="18"/>
              </w:rPr>
              <w:t xml:space="preserve">Document version</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1.0</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r>
              <w:rPr>
                <w:rFonts w:ascii="Arial" w:cs="Arial" w:eastAsia="Arial" w:hAnsi="Arial"/>
                <w:b/>
                <w:bCs/>
                <w:sz w:val="18"/>
                <w:szCs w:val="18"/>
              </w:rPr>
              <w:t xml:space="preserve">Date</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October 2026</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r>
              <w:rPr>
                <w:rFonts w:ascii="Arial" w:cs="Arial" w:eastAsia="Arial" w:hAnsi="Arial"/>
                <w:b/>
                <w:bCs/>
                <w:sz w:val="18"/>
                <w:szCs w:val="18"/>
              </w:rPr>
              <w:t xml:space="preserve">Prepared by</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Project team</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r>
              <w:rPr>
                <w:rFonts w:ascii="Arial" w:cs="Arial" w:eastAsia="Arial" w:hAnsi="Arial"/>
                <w:b/>
                <w:bCs/>
                <w:sz w:val="18"/>
                <w:szCs w:val="18"/>
              </w:rPr>
              <w:t xml:space="preserve">Reviewed by</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Clinical lead, privacy officer</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r>
              <w:rPr>
                <w:rFonts w:ascii="Arial" w:cs="Arial" w:eastAsia="Arial" w:hAnsi="Arial"/>
                <w:b/>
                <w:bCs/>
                <w:sz w:val="18"/>
                <w:szCs w:val="18"/>
              </w:rPr>
              <w:t xml:space="preserve">Document status</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Sample for illustration</w:t>
            </w:r>
          </w:p>
        </w:tc>
      </w:tr>
    </w:tbl>
    <w:p>
      <w:pPr>
        <w:spacing w:after="80" w:before="0"/>
      </w:pPr>
      <w:r>
        <w:rPr>
          <w:rFonts w:ascii="Arial" w:cs="Arial" w:eastAsia="Arial" w:hAnsi="Arial"/>
          <w:sz w:val="20"/>
          <w:szCs w:val="20"/>
        </w:rPr>
        <w:t xml:space="preserve"/>
      </w:r>
    </w:p>
    <w:p>
      <w:pPr>
        <w:spacing w:after="80" w:before="0"/>
      </w:pPr>
      <w:r>
        <w:rPr>
          <w:rFonts w:ascii="Arial" w:cs="Arial" w:eastAsia="Arial" w:hAnsi="Arial"/>
          <w:sz w:val="20"/>
          <w:szCs w:val="20"/>
        </w:rPr>
        <w:t xml:space="preserve"/>
      </w:r>
    </w:p>
    <w:p>
      <w:pPr>
        <w:pStyle w:val="Heading1"/>
      </w:pPr>
      <w:r>
        <w:rPr>
          <w:rFonts w:ascii="Arial" w:cs="Arial" w:eastAsia="Arial" w:hAnsi="Arial"/>
        </w:rPr>
        <w:t xml:space="preserve">1. Introduction</w:t>
      </w:r>
    </w:p>
    <w:p>
      <w:pPr>
        <w:pStyle w:val="Heading2"/>
      </w:pPr>
      <w:r>
        <w:rPr>
          <w:rFonts w:ascii="Arial" w:cs="Arial" w:eastAsia="Arial" w:hAnsi="Arial"/>
        </w:rPr>
        <w:t xml:space="preserve">1.1 Purpose</w:t>
      </w:r>
    </w:p>
    <w:p>
      <w:pPr>
        <w:spacing w:after="120" w:before="0"/>
      </w:pPr>
      <w:r>
        <w:rPr>
          <w:rFonts w:ascii="Arial" w:cs="Arial" w:eastAsia="Arial" w:hAnsi="Arial"/>
          <w:sz w:val="20"/>
          <w:szCs w:val="20"/>
        </w:rPr>
        <w:t xml:space="preserve">This document specifies the requirements for the Hospital Management System, which supports appointments, clinical records, pharmacy, billing and ward operations for a general hospital. It is intended for the project team, clinical staff representatives, the privacy officer and quality assurance.</w:t>
      </w:r>
    </w:p>
    <w:p>
      <w:pPr>
        <w:pStyle w:val="Heading2"/>
      </w:pPr>
      <w:r>
        <w:rPr>
          <w:rFonts w:ascii="Arial" w:cs="Arial" w:eastAsia="Arial" w:hAnsi="Arial"/>
        </w:rPr>
        <w:t xml:space="preserve">1.2 Scope</w:t>
      </w:r>
    </w:p>
    <w:p>
      <w:pPr>
        <w:spacing w:after="120" w:before="0"/>
      </w:pPr>
      <w:r>
        <w:rPr>
          <w:rFonts w:ascii="Arial" w:cs="Arial" w:eastAsia="Arial" w:hAnsi="Arial"/>
          <w:sz w:val="20"/>
          <w:szCs w:val="20"/>
        </w:rPr>
        <w:t xml:space="preserve">The system covers outpatient appointments and queues, patient registration and records, laboratory and radiology results, prescriptions and pharmacy stock, billing and insurance, ward and theatre management, staff rostering and management reporting. Medical devices, laboratory analyser software and the insurers’ own systems are outside the scope and are reached through interfaces.</w:t>
      </w:r>
    </w:p>
    <w:p>
      <w:pPr>
        <w:pStyle w:val="Heading2"/>
      </w:pPr>
      <w:r>
        <w:rPr>
          <w:rFonts w:ascii="Arial" w:cs="Arial" w:eastAsia="Arial" w:hAnsi="Arial"/>
        </w:rPr>
        <w:t xml:space="preserve">1.3 Definitions, acronyms and abbreviations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Term</w:t>
            </w:r>
          </w:p>
        </w:tc>
        <w:tc>
          <w:tcPr>
            <w:tcW w:type="dxa" w:w="723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Definition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EMR</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Electronic medical record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HL7</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Health Level Seven, a healthcare messaging standard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FHIR</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Fast Healthcare Interoperability Resources, a healthcare data exchange standard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OPD</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Outpatient department</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RBAC</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Role-based access control</w:t>
            </w:r>
          </w:p>
        </w:tc>
      </w:tr>
    </w:tbl>
    <w:p>
      <w:pPr>
        <w:spacing w:after="80" w:before="0"/>
      </w:pPr>
      <w:r>
        <w:rPr>
          <w:rFonts w:ascii="Arial" w:cs="Arial" w:eastAsia="Arial" w:hAnsi="Arial"/>
          <w:sz w:val="20"/>
          <w:szCs w:val="20"/>
        </w:rPr>
        <w:t xml:space="preserve"/>
      </w:r>
    </w:p>
    <w:p>
      <w:pPr>
        <w:pStyle w:val="Heading2"/>
      </w:pPr>
      <w:r>
        <w:rPr>
          <w:rFonts w:ascii="Arial" w:cs="Arial" w:eastAsia="Arial" w:hAnsi="Arial"/>
        </w:rPr>
        <w:t xml:space="preserve">1.4 References</w:t>
      </w:r>
    </w:p>
    <w:p>
      <w:pPr>
        <w:pStyle w:val="ListParagraph"/>
        <w:numPr>
          <w:ilvl w:val="0"/>
          <w:numId w:val="2"/>
        </w:numPr>
        <w:spacing w:after="60"/>
      </w:pPr>
      <w:r>
        <w:rPr>
          <w:rFonts w:ascii="Arial" w:cs="Arial" w:eastAsia="Arial" w:hAnsi="Arial"/>
          <w:sz w:val="20"/>
          <w:szCs w:val="20"/>
        </w:rPr>
        <w:t xml:space="preserve">National health data privacy regulations</w:t>
      </w:r>
    </w:p>
    <w:p>
      <w:pPr>
        <w:pStyle w:val="ListParagraph"/>
        <w:numPr>
          <w:ilvl w:val="0"/>
          <w:numId w:val="2"/>
        </w:numPr>
        <w:spacing w:after="60"/>
      </w:pPr>
      <w:r>
        <w:rPr>
          <w:rFonts w:ascii="Arial" w:cs="Arial" w:eastAsia="Arial" w:hAnsi="Arial"/>
          <w:sz w:val="20"/>
          <w:szCs w:val="20"/>
        </w:rPr>
        <w:t xml:space="preserve">Hospital information security policy</w:t>
      </w:r>
    </w:p>
    <w:p>
      <w:pPr>
        <w:pStyle w:val="ListParagraph"/>
        <w:numPr>
          <w:ilvl w:val="0"/>
          <w:numId w:val="2"/>
        </w:numPr>
        <w:spacing w:after="60"/>
      </w:pPr>
      <w:r>
        <w:rPr>
          <w:rFonts w:ascii="Arial" w:cs="Arial" w:eastAsia="Arial" w:hAnsi="Arial"/>
          <w:sz w:val="20"/>
          <w:szCs w:val="20"/>
        </w:rPr>
        <w:t xml:space="preserve">Insurer claim format specifications</w:t>
      </w:r>
    </w:p>
    <w:p>
      <w:pPr>
        <w:pStyle w:val="Heading2"/>
      </w:pPr>
      <w:r>
        <w:rPr>
          <w:rFonts w:ascii="Arial" w:cs="Arial" w:eastAsia="Arial" w:hAnsi="Arial"/>
        </w:rPr>
        <w:t xml:space="preserve">1.5 Document overview</w:t>
      </w:r>
    </w:p>
    <w:p>
      <w:pPr>
        <w:spacing w:after="120" w:before="0"/>
      </w:pPr>
      <w:r>
        <w:rPr>
          <w:rFonts w:ascii="Arial" w:cs="Arial" w:eastAsia="Arial" w:hAnsi="Arial"/>
          <w:sz w:val="20"/>
          <w:szCs w:val="20"/>
        </w:rPr>
        <w:t xml:space="preserve">Section 2 describes the product and its users. Section 3 lists the functional and non-functional requirements and the external interfaces. Section 4 covers constraints and acceptance. Section 5 records changes and open issues.</w:t>
      </w:r>
    </w:p>
    <w:p>
      <w:pPr>
        <w:pStyle w:val="Heading1"/>
      </w:pPr>
      <w:r>
        <w:rPr>
          <w:rFonts w:ascii="Arial" w:cs="Arial" w:eastAsia="Arial" w:hAnsi="Arial"/>
        </w:rPr>
        <w:t xml:space="preserve">2. Overall description</w:t>
      </w:r>
    </w:p>
    <w:p>
      <w:pPr>
        <w:pStyle w:val="Heading2"/>
      </w:pPr>
      <w:r>
        <w:rPr>
          <w:rFonts w:ascii="Arial" w:cs="Arial" w:eastAsia="Arial" w:hAnsi="Arial"/>
        </w:rPr>
        <w:t xml:space="preserve">2.1 Product perspective</w:t>
      </w:r>
    </w:p>
    <w:p>
      <w:pPr>
        <w:spacing w:after="120" w:before="0"/>
      </w:pPr>
      <w:r>
        <w:rPr>
          <w:rFonts w:ascii="Arial" w:cs="Arial" w:eastAsia="Arial" w:hAnsi="Arial"/>
          <w:sz w:val="20"/>
          <w:szCs w:val="20"/>
        </w:rPr>
        <w:t xml:space="preserve">The system replaces several departmental tools with one integrated platform and exchanges data with the laboratory, radiology, pharmacy and insurer systems.</w:t>
      </w:r>
    </w:p>
    <w:p>
      <w:pPr>
        <w:pStyle w:val="Heading2"/>
      </w:pPr>
      <w:r>
        <w:rPr>
          <w:rFonts w:ascii="Arial" w:cs="Arial" w:eastAsia="Arial" w:hAnsi="Arial"/>
        </w:rPr>
        <w:t xml:space="preserve">2.2 Product functions</w:t>
      </w:r>
    </w:p>
    <w:p>
      <w:pPr>
        <w:pStyle w:val="ListParagraph"/>
        <w:numPr>
          <w:ilvl w:val="0"/>
          <w:numId w:val="2"/>
        </w:numPr>
        <w:spacing w:after="60"/>
      </w:pPr>
      <w:r>
        <w:rPr>
          <w:rFonts w:ascii="Arial" w:cs="Arial" w:eastAsia="Arial" w:hAnsi="Arial"/>
          <w:sz w:val="20"/>
          <w:szCs w:val="20"/>
        </w:rPr>
        <w:t xml:space="preserve">Appointments, registration, walk-in queues and video consultations</w:t>
      </w:r>
    </w:p>
    <w:p>
      <w:pPr>
        <w:pStyle w:val="ListParagraph"/>
        <w:numPr>
          <w:ilvl w:val="0"/>
          <w:numId w:val="2"/>
        </w:numPr>
        <w:spacing w:after="60"/>
      </w:pPr>
      <w:r>
        <w:rPr>
          <w:rFonts w:ascii="Arial" w:cs="Arial" w:eastAsia="Arial" w:hAnsi="Arial"/>
          <w:sz w:val="20"/>
          <w:szCs w:val="20"/>
        </w:rPr>
        <w:t xml:space="preserve">Patient records, laboratory results, radiology and prescriptions</w:t>
      </w:r>
    </w:p>
    <w:p>
      <w:pPr>
        <w:pStyle w:val="ListParagraph"/>
        <w:numPr>
          <w:ilvl w:val="0"/>
          <w:numId w:val="2"/>
        </w:numPr>
        <w:spacing w:after="60"/>
      </w:pPr>
      <w:r>
        <w:rPr>
          <w:rFonts w:ascii="Arial" w:cs="Arial" w:eastAsia="Arial" w:hAnsi="Arial"/>
          <w:sz w:val="20"/>
          <w:szCs w:val="20"/>
        </w:rPr>
        <w:t xml:space="preserve">Pharmacy stock, billing, insurance and invoicing</w:t>
      </w:r>
    </w:p>
    <w:p>
      <w:pPr>
        <w:pStyle w:val="ListParagraph"/>
        <w:numPr>
          <w:ilvl w:val="0"/>
          <w:numId w:val="2"/>
        </w:numPr>
        <w:spacing w:after="60"/>
      </w:pPr>
      <w:r>
        <w:rPr>
          <w:rFonts w:ascii="Arial" w:cs="Arial" w:eastAsia="Arial" w:hAnsi="Arial"/>
          <w:sz w:val="20"/>
          <w:szCs w:val="20"/>
        </w:rPr>
        <w:t xml:space="preserve">Beds, handover notes, discharge summaries and theatre scheduling</w:t>
      </w:r>
    </w:p>
    <w:p>
      <w:pPr>
        <w:pStyle w:val="ListParagraph"/>
        <w:numPr>
          <w:ilvl w:val="0"/>
          <w:numId w:val="2"/>
        </w:numPr>
        <w:spacing w:after="60"/>
      </w:pPr>
      <w:r>
        <w:rPr>
          <w:rFonts w:ascii="Arial" w:cs="Arial" w:eastAsia="Arial" w:hAnsi="Arial"/>
          <w:sz w:val="20"/>
          <w:szCs w:val="20"/>
        </w:rPr>
        <w:t xml:space="preserve">Staff rosters and management reporting</w:t>
      </w:r>
    </w:p>
    <w:p>
      <w:pPr>
        <w:pStyle w:val="ListParagraph"/>
        <w:numPr>
          <w:ilvl w:val="0"/>
          <w:numId w:val="2"/>
        </w:numPr>
        <w:spacing w:after="60"/>
      </w:pPr>
      <w:r>
        <w:rPr>
          <w:rFonts w:ascii="Arial" w:cs="Arial" w:eastAsia="Arial" w:hAnsi="Arial"/>
          <w:sz w:val="20"/>
          <w:szCs w:val="20"/>
        </w:rPr>
        <w:t xml:space="preserve">Security, auditing, availability and interoperability</w:t>
      </w:r>
    </w:p>
    <w:p>
      <w:pPr>
        <w:pStyle w:val="Heading2"/>
      </w:pPr>
      <w:r>
        <w:rPr>
          <w:rFonts w:ascii="Arial" w:cs="Arial" w:eastAsia="Arial" w:hAnsi="Arial"/>
        </w:rPr>
        <w:t xml:space="preserve">2.3 User classes and characteristics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238"/>
        <w:gridCol w:w="220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User class</w:t>
            </w:r>
          </w:p>
        </w:tc>
        <w:tc>
          <w:tcPr>
            <w:tcW w:type="dxa" w:w="523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Description</w:t>
            </w:r>
          </w:p>
        </w:tc>
        <w:tc>
          <w:tcPr>
            <w:tcW w:type="dxa" w:w="22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Technical level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Patient</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Books appointments and views results in the patient portal</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Low</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Doctor</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Consults, prescribes and reviews results</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Medium</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Nurse</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Records handover notes and updates bed status</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Medium</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Front desk staff</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Register patients and manage queues</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Low</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Pharmacist</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Dispenses medicines and manages stock</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Medium</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Billing officer</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Prepares invoices and insurance claims</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Medium</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Ward manager</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Plans rosters and monitors beds</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Medium</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Privacy officer</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Reviews access to patient records</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Medium</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Administrator</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Manages users, roles and configuration</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High</w:t>
            </w:r>
          </w:p>
        </w:tc>
      </w:tr>
    </w:tbl>
    <w:p>
      <w:pPr>
        <w:spacing w:after="80" w:before="0"/>
      </w:pPr>
      <w:r>
        <w:rPr>
          <w:rFonts w:ascii="Arial" w:cs="Arial" w:eastAsia="Arial" w:hAnsi="Arial"/>
          <w:sz w:val="20"/>
          <w:szCs w:val="20"/>
        </w:rPr>
        <w:t xml:space="preserve"/>
      </w:r>
    </w:p>
    <w:p>
      <w:pPr>
        <w:pStyle w:val="Heading2"/>
      </w:pPr>
      <w:r>
        <w:rPr>
          <w:rFonts w:ascii="Arial" w:cs="Arial" w:eastAsia="Arial" w:hAnsi="Arial"/>
        </w:rPr>
        <w:t xml:space="preserve">2.4 Operating environment</w:t>
      </w:r>
    </w:p>
    <w:p>
      <w:pPr>
        <w:spacing w:after="120" w:before="0"/>
      </w:pPr>
      <w:r>
        <w:rPr>
          <w:rFonts w:ascii="Arial" w:cs="Arial" w:eastAsia="Arial" w:hAnsi="Arial"/>
          <w:sz w:val="20"/>
          <w:szCs w:val="20"/>
        </w:rPr>
        <w:t xml:space="preserve">The hospital intranet, ward tablets and desktop browsers, with secure internet access for the patient portal. The primary data centre is on premises with a secondary site for recovery.</w:t>
      </w:r>
    </w:p>
    <w:p>
      <w:pPr>
        <w:pStyle w:val="Heading2"/>
      </w:pPr>
      <w:r>
        <w:rPr>
          <w:rFonts w:ascii="Arial" w:cs="Arial" w:eastAsia="Arial" w:hAnsi="Arial"/>
        </w:rPr>
        <w:t xml:space="preserve">2.5 Design and implementation constraints</w:t>
      </w:r>
    </w:p>
    <w:p>
      <w:pPr>
        <w:pStyle w:val="ListParagraph"/>
        <w:numPr>
          <w:ilvl w:val="0"/>
          <w:numId w:val="2"/>
        </w:numPr>
        <w:spacing w:after="60"/>
      </w:pPr>
      <w:r>
        <w:rPr>
          <w:rFonts w:ascii="Arial" w:cs="Arial" w:eastAsia="Arial" w:hAnsi="Arial"/>
          <w:sz w:val="20"/>
          <w:szCs w:val="20"/>
        </w:rPr>
        <w:t xml:space="preserve">Patient data stays within the country.</w:t>
      </w:r>
    </w:p>
    <w:p>
      <w:pPr>
        <w:pStyle w:val="ListParagraph"/>
        <w:numPr>
          <w:ilvl w:val="0"/>
          <w:numId w:val="2"/>
        </w:numPr>
        <w:spacing w:after="60"/>
      </w:pPr>
      <w:r>
        <w:rPr>
          <w:rFonts w:ascii="Arial" w:cs="Arial" w:eastAsia="Arial" w:hAnsi="Arial"/>
          <w:sz w:val="20"/>
          <w:szCs w:val="20"/>
        </w:rPr>
        <w:t xml:space="preserve">Access to patient records is role-based and fully logged.</w:t>
      </w:r>
    </w:p>
    <w:p>
      <w:pPr>
        <w:pStyle w:val="ListParagraph"/>
        <w:numPr>
          <w:ilvl w:val="0"/>
          <w:numId w:val="2"/>
        </w:numPr>
        <w:spacing w:after="60"/>
      </w:pPr>
      <w:r>
        <w:rPr>
          <w:rFonts w:ascii="Arial" w:cs="Arial" w:eastAsia="Arial" w:hAnsi="Arial"/>
          <w:sz w:val="20"/>
          <w:szCs w:val="20"/>
        </w:rPr>
        <w:t xml:space="preserve">Controlled drugs require two doctor approvals.</w:t>
      </w:r>
    </w:p>
    <w:p>
      <w:pPr>
        <w:pStyle w:val="Heading2"/>
      </w:pPr>
      <w:r>
        <w:rPr>
          <w:rFonts w:ascii="Arial" w:cs="Arial" w:eastAsia="Arial" w:hAnsi="Arial"/>
        </w:rPr>
        <w:t xml:space="preserve">2.6 Assumptions and dependencies</w:t>
      </w:r>
    </w:p>
    <w:p>
      <w:pPr>
        <w:pStyle w:val="ListParagraph"/>
        <w:numPr>
          <w:ilvl w:val="0"/>
          <w:numId w:val="2"/>
        </w:numPr>
        <w:spacing w:after="60"/>
      </w:pPr>
      <w:r>
        <w:rPr>
          <w:rFonts w:ascii="Arial" w:cs="Arial" w:eastAsia="Arial" w:hAnsi="Arial"/>
          <w:sz w:val="20"/>
          <w:szCs w:val="20"/>
        </w:rPr>
        <w:t xml:space="preserve">Laboratory and radiology vendors provide test environments.</w:t>
      </w:r>
    </w:p>
    <w:p>
      <w:pPr>
        <w:pStyle w:val="ListParagraph"/>
        <w:numPr>
          <w:ilvl w:val="0"/>
          <w:numId w:val="2"/>
        </w:numPr>
        <w:spacing w:after="60"/>
      </w:pPr>
      <w:r>
        <w:rPr>
          <w:rFonts w:ascii="Arial" w:cs="Arial" w:eastAsia="Arial" w:hAnsi="Arial"/>
          <w:sz w:val="20"/>
          <w:szCs w:val="20"/>
        </w:rPr>
        <w:t xml:space="preserve">Only some insurers offer an electronic eligibility interface.</w:t>
      </w:r>
    </w:p>
    <w:p>
      <w:pPr>
        <w:pStyle w:val="ListParagraph"/>
        <w:numPr>
          <w:ilvl w:val="0"/>
          <w:numId w:val="2"/>
        </w:numPr>
        <w:spacing w:after="60"/>
      </w:pPr>
      <w:r>
        <w:rPr>
          <w:rFonts w:ascii="Arial" w:cs="Arial" w:eastAsia="Arial" w:hAnsi="Arial"/>
          <w:sz w:val="20"/>
          <w:szCs w:val="20"/>
        </w:rPr>
        <w:t xml:space="preserve">Mobile network coverage allows SMS delivery across the service area.</w:t>
      </w:r>
    </w:p>
    <w:p>
      <w:pPr>
        <w:sectPr>
          <w:footerReference w:type="default" r:id="rId7"/>
          <w:pgSz w:w="11906" w:h="16838" w:orient="portrait"/>
          <w:pgMar w:top="1134" w:right="1134" w:bottom="1134" w:left="1134" w:header="708" w:footer="708" w:gutter="0"/>
          <w:pgNumType/>
          <w:docGrid w:linePitch="360"/>
        </w:sectPr>
      </w:pPr>
    </w:p>
    <w:p>
      <w:pPr>
        <w:pStyle w:val="Heading1"/>
      </w:pPr>
      <w:r>
        <w:rPr>
          <w:rFonts w:ascii="Arial" w:cs="Arial" w:eastAsia="Arial" w:hAnsi="Arial"/>
        </w:rPr>
        <w:t xml:space="preserve">3. Specific requirements</w:t>
      </w:r>
    </w:p>
    <w:p>
      <w:pPr>
        <w:spacing w:after="120" w:before="0"/>
      </w:pPr>
      <w:r>
        <w:rPr>
          <w:rFonts w:ascii="Arial" w:cs="Arial" w:eastAsia="Arial" w:hAnsi="Arial"/>
          <w:i/>
          <w:iCs/>
          <w:color w:val="1F3864"/>
          <w:sz w:val="20"/>
          <w:szCs w:val="20"/>
        </w:rPr>
        <w:t xml:space="preserve">How the platform reads this document: the two requirement tables in 3.1 and 3.2 are imported as the initial requirements of a project. Keep the column headings (ID, Title, Requirement statement, Feature area, Priority, Verification) and write one requirement per row.</w:t>
      </w:r>
    </w:p>
    <w:p>
      <w:pPr>
        <w:pStyle w:val="Heading2"/>
      </w:pPr>
      <w:r>
        <w:rPr>
          <w:rFonts w:ascii="Arial" w:cs="Arial" w:eastAsia="Arial" w:hAnsi="Arial"/>
        </w:rPr>
        <w:t xml:space="preserve">3.1 Functional requirements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5800"/>
        <w:gridCol w:w="1700"/>
        <w:gridCol w:w="1000"/>
        <w:gridCol w:w="2870"/>
      </w:tblGrid>
      <w:tr>
        <w:trPr>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ID</w:t>
            </w:r>
          </w:p>
        </w:tc>
        <w:tc>
          <w:tcPr>
            <w:tcW w:type="dxa" w:w="2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Title</w:t>
            </w:r>
          </w:p>
        </w:tc>
        <w:tc>
          <w:tcPr>
            <w:tcW w:type="dxa" w:w="5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Requirement statement</w:t>
            </w:r>
          </w:p>
        </w:tc>
        <w:tc>
          <w:tcPr>
            <w:tcW w:type="dxa" w:w="17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Feature area</w:t>
            </w:r>
          </w:p>
        </w:tc>
        <w:tc>
          <w:tcPr>
            <w:tcW w:type="dxa" w:w="1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Priority</w:t>
            </w:r>
          </w:p>
        </w:tc>
        <w:tc>
          <w:tcPr>
            <w:tcW w:type="dxa" w:w="287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Verification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FR-001</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Online appointment booking</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allow patients to book, change and cancel appointments online, and shall block services that need a referral until the referral is uploaded.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Appointments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Must</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Test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FR-002</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Doctor schedule management</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allow doctors to set weekly availability and block time for surgery and leave, with changes allowed up to 48 hours before a slot.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Appointments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Must</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Test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FR-003</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Electronic patient record view</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present a patient’s history, allergies and current medication on one screen, with a second confirmation step for records of the sensitive care unit.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Clinical</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Must</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Demonstration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FR-004</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Lab results in patient portal</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release laboratory results to the patient portal only after a doctor has marked them as reviewed.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Clinical</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Must</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Test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FR-005</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Prescription issuing</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allow doctors to issue prescriptions from the consultation screen and send them to the pharmacy, with two doctor approvals for controlled drugs.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Clinical</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Must</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Test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FR-006</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Billing and insurance claims</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generate insurance claims from the treatments recorded for each visit and support submission within 30 days of discharge.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Billing</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Must</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Test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FR-007</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Appointment SMS reminders</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send patients an SMS reminder the day before an appointment, only to patients who have given consent.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Appointments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Should</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Test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FR-008</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Patient registration</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register patients with a unique identifier, support search by name or phone number, and block duplicate registrations.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Appointments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Must</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Test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FR-009</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Walk-in queue management</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manage a queue of walk-in patients with a waiting-area display, and shall move emergency cases to the front of the queue.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Appointments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Should</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Demonstration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FR-010</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Video consultation</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support video consultations through an approved secure provider and shall not record a session without the patient’s consent.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Appointments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Could</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Demonstration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FR-011</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Bed management</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show the status of every bed by ward and update it within five minutes of an admission or discharge.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Wards and Theatre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Must</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Test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FR-012</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Shift handover notes</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allow nurses to record handover notes per patient, lock them at the end of the shift, and allow corrections only as addenda.</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Wards and Theatre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Should</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Test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FR-013</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Pharmacy stock and dispensing</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reduce pharmacy stock when a prescription is dispensed and keep a separate controlled-drug register that requires two signatures.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Clinical</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Must</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Test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FR-014</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Radiology image viewing</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allow treating staff to open radiology images from the patient record.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Clinical</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Should</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Demonstration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FR-015</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Discharge summary generation</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generate a discharge summary from the notes and results of a stay and release it only after consultant approval.</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Wards and Theatre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Should</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Test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FR-016</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Insurance eligibility check</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check a patient’s insurance cover through the insurer’s official interface before admission, where one is available.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Billing</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Should</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Test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FR-017</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Patient invoicing and payment</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issue itemised invoices with tax details and a unique invoice number, and accept card payment at the counter and online.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Billing</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Must</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Test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FR-018</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Theatre scheduling</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book theatre sessions only when the surgeon, the anaesthetist, the nursing team and the equipment are available.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Wards and Theatre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Should</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Test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FR-019</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Staff roster and leave</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support monthly duty rosters and leave approval, and shall enforce maximum working hours.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Administration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Should</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Test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FR-020</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Management dashboard</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present admissions, waiting times and monthly revenue to management, using anonymised patient data only.</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Administration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Could</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Demonstration</w:t>
            </w:r>
          </w:p>
        </w:tc>
      </w:tr>
    </w:tbl>
    <w:p>
      <w:pPr>
        <w:spacing w:after="80" w:before="0"/>
      </w:pPr>
      <w:r>
        <w:rPr>
          <w:rFonts w:ascii="Arial" w:cs="Arial" w:eastAsia="Arial" w:hAnsi="Arial"/>
          <w:sz w:val="20"/>
          <w:szCs w:val="20"/>
        </w:rPr>
        <w:t xml:space="preserve"/>
      </w:r>
    </w:p>
    <w:p>
      <w:pPr>
        <w:pStyle w:val="Heading2"/>
      </w:pPr>
      <w:r>
        <w:rPr>
          <w:rFonts w:ascii="Arial" w:cs="Arial" w:eastAsia="Arial" w:hAnsi="Arial"/>
        </w:rPr>
        <w:t xml:space="preserve">3.2 Non-functional requirements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5800"/>
        <w:gridCol w:w="1700"/>
        <w:gridCol w:w="1000"/>
        <w:gridCol w:w="2870"/>
      </w:tblGrid>
      <w:tr>
        <w:trPr>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ID</w:t>
            </w:r>
          </w:p>
        </w:tc>
        <w:tc>
          <w:tcPr>
            <w:tcW w:type="dxa" w:w="2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Title</w:t>
            </w:r>
          </w:p>
        </w:tc>
        <w:tc>
          <w:tcPr>
            <w:tcW w:type="dxa" w:w="5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Requirement statement</w:t>
            </w:r>
          </w:p>
        </w:tc>
        <w:tc>
          <w:tcPr>
            <w:tcW w:type="dxa" w:w="17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Feature area</w:t>
            </w:r>
          </w:p>
        </w:tc>
        <w:tc>
          <w:tcPr>
            <w:tcW w:type="dxa" w:w="1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Priority</w:t>
            </w:r>
          </w:p>
        </w:tc>
        <w:tc>
          <w:tcPr>
            <w:tcW w:type="dxa" w:w="287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Verification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NFR-001</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Role-based record access</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restrict access to patient records by staff role and shall expire temporary staff access on the contract end date.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Security</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Must</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Test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NFR-002</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Record access audit log</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log every access to a patient record with who, when and why, and retain the logs for seven years without modification.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Security</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Must</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Inspection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NFR-003</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System availability</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be available at least 99.5 percent of the time, with planned maintenance only between 02:00 and 04:00 on Sundays.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Availability</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Must</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Analysis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NFR-004</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Backup and disaster recovery</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Patient data shall be backed up daily to a separate location, restore tests shall run every quarter, and recovery shall complete within two hours.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Availability</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Must</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Test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NFR-005</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Patient data privacy compliance</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comply with the national health data privacy requirements, keep patient data within the country and require approval for external vendors.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Compliance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Must</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Inspection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NFR-006</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HL7 and FHIR integration</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exchange data with laboratory, radiology and device systems using HL7 or FHIR messages, tested against each vendor’s test environment.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Interoperability</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Must</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Test</w:t>
            </w:r>
          </w:p>
        </w:tc>
      </w:tr>
    </w:tbl>
    <w:p>
      <w:pPr>
        <w:sectPr>
          <w:footerReference w:type="default" r:id="rId8"/>
          <w:pgSz w:w="16838" w:h="11906" w:orient="landscape"/>
          <w:pgMar w:top="1134" w:right="1134" w:bottom="1134" w:left="1134" w:header="708" w:footer="708" w:gutter="0"/>
          <w:pgNumType/>
          <w:docGrid w:linePitch="360"/>
        </w:sectPr>
      </w:pPr>
    </w:p>
    <w:p>
      <w:pPr>
        <w:pStyle w:val="Heading2"/>
      </w:pPr>
      <w:r>
        <w:rPr>
          <w:rFonts w:ascii="Arial" w:cs="Arial" w:eastAsia="Arial" w:hAnsi="Arial"/>
        </w:rPr>
        <w:t xml:space="preserve">3.3 External interface requirements</w:t>
      </w:r>
    </w:p>
    <w:p>
      <w:pPr>
        <w:pStyle w:val="Heading2"/>
      </w:pPr>
      <w:r>
        <w:rPr>
          <w:rFonts w:ascii="Arial" w:cs="Arial" w:eastAsia="Arial" w:hAnsi="Arial"/>
        </w:rPr>
        <w:t xml:space="preserve">3.3.1 User interfaces</w:t>
      </w:r>
    </w:p>
    <w:p>
      <w:pPr>
        <w:spacing w:after="120" w:before="0"/>
      </w:pPr>
      <w:r>
        <w:rPr>
          <w:rFonts w:ascii="Arial" w:cs="Arial" w:eastAsia="Arial" w:hAnsi="Arial"/>
          <w:sz w:val="20"/>
          <w:szCs w:val="20"/>
        </w:rPr>
        <w:t xml:space="preserve">A staff web application and a patient portal, available in English, Sinhala and Tamil. Ward tablets use a simplified layout for bed status and handover notes.</w:t>
      </w:r>
    </w:p>
    <w:p>
      <w:pPr>
        <w:pStyle w:val="Heading2"/>
      </w:pPr>
      <w:r>
        <w:rPr>
          <w:rFonts w:ascii="Arial" w:cs="Arial" w:eastAsia="Arial" w:hAnsi="Arial"/>
        </w:rPr>
        <w:t xml:space="preserve">3.3.2 Software interfaces</w:t>
      </w:r>
    </w:p>
    <w:p>
      <w:pPr>
        <w:spacing w:after="120" w:before="0"/>
      </w:pPr>
      <w:r>
        <w:rPr>
          <w:rFonts w:ascii="Arial" w:cs="Arial" w:eastAsia="Arial" w:hAnsi="Arial"/>
          <w:sz w:val="20"/>
          <w:szCs w:val="20"/>
        </w:rPr>
        <w:t xml:space="preserve">Laboratory system, radiology archive, pharmacy system, insurer eligibility and claim interfaces, SMS gateway and the approved video consultation provider.</w:t>
      </w:r>
    </w:p>
    <w:p>
      <w:pPr>
        <w:pStyle w:val="Heading2"/>
      </w:pPr>
      <w:r>
        <w:rPr>
          <w:rFonts w:ascii="Arial" w:cs="Arial" w:eastAsia="Arial" w:hAnsi="Arial"/>
        </w:rPr>
        <w:t xml:space="preserve">3.3.3 Communication interfaces</w:t>
      </w:r>
    </w:p>
    <w:p>
      <w:pPr>
        <w:spacing w:after="120" w:before="0"/>
      </w:pPr>
      <w:r>
        <w:rPr>
          <w:rFonts w:ascii="Arial" w:cs="Arial" w:eastAsia="Arial" w:hAnsi="Arial"/>
          <w:sz w:val="20"/>
          <w:szCs w:val="20"/>
        </w:rPr>
        <w:t xml:space="preserve">HL7 or FHIR messages over secure channels. Patient-facing traffic uses HTTPS with TLS 1.2 or higher.</w:t>
      </w:r>
    </w:p>
    <w:p>
      <w:pPr>
        <w:pStyle w:val="Heading2"/>
      </w:pPr>
      <w:r>
        <w:rPr>
          <w:rFonts w:ascii="Arial" w:cs="Arial" w:eastAsia="Arial" w:hAnsi="Arial"/>
        </w:rPr>
        <w:t xml:space="preserve">3.4 Data requirements</w:t>
      </w:r>
    </w:p>
    <w:p>
      <w:pPr>
        <w:spacing w:after="120" w:before="0"/>
      </w:pPr>
      <w:r>
        <w:rPr>
          <w:rFonts w:ascii="Arial" w:cs="Arial" w:eastAsia="Arial" w:hAnsi="Arial"/>
          <w:sz w:val="20"/>
          <w:szCs w:val="20"/>
        </w:rPr>
        <w:t xml:space="preserve">Patient records are retained for the legally required period. Audit logs are retained for seven years and cannot be edited. Management reports use anonymised data.</w:t>
      </w:r>
    </w:p>
    <w:p>
      <w:pPr>
        <w:pStyle w:val="Heading1"/>
      </w:pPr>
      <w:r>
        <w:rPr>
          <w:rFonts w:ascii="Arial" w:cs="Arial" w:eastAsia="Arial" w:hAnsi="Arial"/>
        </w:rPr>
        <w:t xml:space="preserve">4. Constraints and acceptance</w:t>
      </w:r>
    </w:p>
    <w:p>
      <w:pPr>
        <w:pStyle w:val="Heading2"/>
      </w:pPr>
      <w:r>
        <w:rPr>
          <w:rFonts w:ascii="Arial" w:cs="Arial" w:eastAsia="Arial" w:hAnsi="Arial"/>
        </w:rPr>
        <w:t xml:space="preserve">4.1 Regulatory and policy constraints</w:t>
      </w:r>
    </w:p>
    <w:p>
      <w:pPr>
        <w:spacing w:after="120" w:before="0"/>
      </w:pPr>
      <w:r>
        <w:rPr>
          <w:rFonts w:ascii="Arial" w:cs="Arial" w:eastAsia="Arial" w:hAnsi="Arial"/>
          <w:sz w:val="20"/>
          <w:szCs w:val="20"/>
        </w:rPr>
        <w:t xml:space="preserve">The system follows the national health data privacy regulations and the hospital information security policy.</w:t>
      </w:r>
    </w:p>
    <w:p>
      <w:pPr>
        <w:pStyle w:val="Heading2"/>
      </w:pPr>
      <w:r>
        <w:rPr>
          <w:rFonts w:ascii="Arial" w:cs="Arial" w:eastAsia="Arial" w:hAnsi="Arial"/>
        </w:rPr>
        <w:t xml:space="preserve">4.2 Acceptance criteria and sign-off</w:t>
      </w:r>
    </w:p>
    <w:p>
      <w:pPr>
        <w:spacing w:after="120" w:before="0"/>
      </w:pPr>
      <w:r>
        <w:rPr>
          <w:rFonts w:ascii="Arial" w:cs="Arial" w:eastAsia="Arial" w:hAnsi="Arial"/>
          <w:sz w:val="20"/>
          <w:szCs w:val="20"/>
        </w:rPr>
        <w:t xml:space="preserve">The system is accepted when every Must requirement has passed its verification, no critical defects remain open, and the clinical lead and the privacy officer have signed off.</w:t>
      </w:r>
    </w:p>
    <w:p>
      <w:pPr>
        <w:pStyle w:val="Heading1"/>
      </w:pPr>
      <w:r>
        <w:rPr>
          <w:rFonts w:ascii="Arial" w:cs="Arial" w:eastAsia="Arial" w:hAnsi="Arial"/>
        </w:rPr>
        <w:t xml:space="preserve">5. Traceability and change control</w:t>
      </w:r>
    </w:p>
    <w:p>
      <w:pPr>
        <w:pStyle w:val="Heading2"/>
      </w:pPr>
      <w:r>
        <w:rPr>
          <w:rFonts w:ascii="Arial" w:cs="Arial" w:eastAsia="Arial" w:hAnsi="Arial"/>
        </w:rPr>
        <w:t xml:space="preserve">5.1 Change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4238"/>
        <w:gridCol w:w="2400"/>
        <w:gridCol w:w="2000"/>
      </w:tblGrid>
      <w:tr>
        <w:trPr>
          <w:tblHeader/>
        </w:trPr>
        <w:tc>
          <w:tcPr>
            <w:tcW w:type="dxa" w:w="1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Version</w:t>
            </w:r>
          </w:p>
        </w:tc>
        <w:tc>
          <w:tcPr>
            <w:tcW w:type="dxa" w:w="423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Change</w:t>
            </w:r>
          </w:p>
        </w:tc>
        <w:tc>
          <w:tcPr>
            <w:tcW w:type="dxa" w:w="2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Author</w:t>
            </w:r>
          </w:p>
        </w:tc>
        <w:tc>
          <w:tcPr>
            <w:tcW w:type="dxa" w:w="2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Date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1.0</w:t>
            </w:r>
          </w:p>
        </w:tc>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Initial version</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Project team</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October 2026</w:t>
            </w:r>
          </w:p>
        </w:tc>
      </w:tr>
    </w:tbl>
    <w:p>
      <w:pPr>
        <w:spacing w:after="80" w:before="0"/>
      </w:pPr>
      <w:r>
        <w:rPr>
          <w:rFonts w:ascii="Arial" w:cs="Arial" w:eastAsia="Arial" w:hAnsi="Arial"/>
          <w:sz w:val="20"/>
          <w:szCs w:val="20"/>
        </w:rPr>
        <w:t xml:space="preserve"/>
      </w:r>
    </w:p>
    <w:p>
      <w:pPr>
        <w:pStyle w:val="Heading2"/>
      </w:pPr>
      <w:r>
        <w:rPr>
          <w:rFonts w:ascii="Arial" w:cs="Arial" w:eastAsia="Arial" w:hAnsi="Arial"/>
        </w:rPr>
        <w:t xml:space="preserve">5.2 Open issues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4638"/>
        <w:gridCol w:w="2200"/>
        <w:gridCol w:w="1800"/>
      </w:tblGrid>
      <w:tr>
        <w:trPr>
          <w:tblHeader/>
        </w:trPr>
        <w:tc>
          <w:tcPr>
            <w:tcW w:type="dxa" w:w="1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ID</w:t>
            </w:r>
          </w:p>
        </w:tc>
        <w:tc>
          <w:tcPr>
            <w:tcW w:type="dxa" w:w="463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Issue</w:t>
            </w:r>
          </w:p>
        </w:tc>
        <w:tc>
          <w:tcPr>
            <w:tcW w:type="dxa" w:w="22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Owner</w:t>
            </w:r>
          </w:p>
        </w:tc>
        <w:tc>
          <w:tcPr>
            <w:tcW w:type="dxa" w:w="1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Status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OI-1</w:t>
            </w:r>
          </w:p>
        </w:tc>
        <w:tc>
          <w:tcPr>
            <w:tcW w:type="dxa" w:w="4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Select a local video consultation provider</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Hospital management</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Open</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OI-2</w:t>
            </w:r>
          </w:p>
        </w:tc>
        <w:tc>
          <w:tcPr>
            <w:tcW w:type="dxa" w:w="4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Agree the claim format for each insurer</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Billing officer</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Open</w:t>
            </w:r>
          </w:p>
        </w:tc>
      </w:tr>
    </w:tbl>
    <w:sectPr>
      <w:footerReference w:type="default" r:id="rId9"/>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SRS - Hospital Management System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SRS - Hospital Management System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SRS - Hospital Management System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Hospital Management System</dc:title>
  <dc:creator>Project team</dc:creator>
  <cp:lastModifiedBy>Un-named</cp:lastModifiedBy>
  <cp:revision>1</cp:revision>
  <dcterms:created xsi:type="dcterms:W3CDTF">2026-10-21T14:21:07.067Z</dcterms:created>
  <dcterms:modified xsi:type="dcterms:W3CDTF">2026-10-21T14:21:07.067Z</dcterms:modified>
</cp:coreProperties>
</file>

<file path=docProps/custom.xml><?xml version="1.0" encoding="utf-8"?>
<Properties xmlns="http://schemas.openxmlformats.org/officeDocument/2006/custom-properties" xmlns:vt="http://schemas.openxmlformats.org/officeDocument/2006/docPropsVTypes"/>
</file>