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0F172A"/>
            <w:tcMar>
              <w:top w:w="260" w:type="dxa"/>
              <w:bottom w:w="260" w:type="dxa"/>
              <w:left w:w="280" w:type="dxa"/>
              <w:right w:w="280" w:type="dxa"/>
            </w:tcMar>
            <w:tcBorders>
              <w:top w:sz="18" w:val="single" w:color="10B981"/>
              <w:bottom w:sz="24" w:val="single" w:color="10B981"/>
              <w:left w:sz="8" w:val="single" w:color="0F172A"/>
              <w:right w:sz="8" w:val="single" w:color="0F172A"/>
            </w:tcBorders>
          </w:tcPr>
          <w:p>
            <w:pPr>
              <w:spacing w:before="0" w:after="80"/>
            </w:pPr>
            <w:r>
              <w:rPr>
                <w:rFonts w:ascii="Calibri" w:hAnsi="Calibri"/>
                <w:b/>
                <w:color w:val="10B981"/>
                <w:sz w:val="19"/>
              </w:rPr>
              <w:t>HACKTOBERFEST OPEN-SOURCE AI CHALLENGE: WEEK 4  •  PROJECT PROPOSAL</w:t>
            </w:r>
          </w:p>
          <w:p>
            <w:pPr>
              <w:spacing w:before="40" w:after="120"/>
            </w:pPr>
            <w:r>
              <w:rPr>
                <w:rFonts w:ascii="Calibri" w:hAnsi="Calibri"/>
                <w:b/>
                <w:color w:val="FFFFFF"/>
                <w:sz w:val="48"/>
              </w:rPr>
              <w:t>DeadNet Ectoplasm Browser</w:t>
            </w:r>
          </w:p>
          <w:p>
            <w:pPr>
              <w:spacing w:before="0" w:after="200"/>
            </w:pPr>
            <w:r>
              <w:rPr>
                <w:rFonts w:ascii="Calibri" w:hAnsi="Calibri"/>
                <w:color w:val="CBD5E1"/>
                <w:sz w:val="24"/>
              </w:rPr>
              <w:t>An Autonomous Digital Archaeology &amp; Web Resurrection Engine Powered by Open-Weight AI, Headless Browser Exhumation, and Durable Workflows</w:t>
            </w:r>
          </w:p>
          <w:p>
            <w:pPr>
              <w:spacing w:before="80" w:after="0"/>
            </w:pPr>
            <w:r>
              <w:rPr>
                <w:rFonts w:ascii="Calibri" w:hAnsi="Calibri"/>
                <w:color w:val="94A3B8"/>
                <w:sz w:val="19"/>
              </w:rPr>
              <w:t>Challenge Theme: "Ghost in the Machine" (Halloween &amp; Día de los Muertos)   |   Submission Deadline: October 31, 2026 (11:59 PM PDT)</w:t>
            </w:r>
          </w:p>
        </w:tc>
      </w:tr>
    </w:tbl>
    <w:p>
      <w:pPr>
        <w:spacing w:before="80" w:after="120"/>
      </w:pPr>
    </w:p>
    <w:tbl>
      <w:tblPr>
        <w:tblW w:type="auto" w:w="0"/>
        <w:jc w:val="center"/>
        <w:tblLayout w:type="fixed"/>
        <w:tblLook w:firstColumn="1" w:firstRow="1" w:lastColumn="0" w:lastRow="0" w:noHBand="0" w:noVBand="1" w:val="04A0"/>
      </w:tblPr>
      <w:tblGrid>
        <w:gridCol w:w="4752"/>
        <w:gridCol w:w="4752"/>
      </w:tblGrid>
      <w:tr>
        <w:tc>
          <w:tcPr>
            <w:tcW w:type="dxa" w:w="3024"/>
            <w:shd w:fill="F1F5F9"/>
            <w:tcMar>
              <w:top w:w="80" w:type="dxa"/>
              <w:bottom w:w="80" w:type="dxa"/>
              <w:left w:w="120" w:type="dxa"/>
              <w:right w:w="120" w:type="dxa"/>
            </w:tcMar>
            <w:tcBorders>
              <w:top w:sz="4" w:val="single" w:color="CBD5E1"/>
              <w:bottom w:sz="4" w:val="single" w:color="CBD5E1"/>
              <w:left w:sz="4" w:val="single" w:color="CBD5E1"/>
              <w:right w:sz="4" w:val="single" w:color="CBD5E1"/>
            </w:tcBorders>
          </w:tcPr>
          <w:p>
            <w:pPr>
              <w:spacing w:before="0" w:after="0"/>
            </w:pPr>
            <w:r>
              <w:rPr>
                <w:rFonts w:ascii="Calibri" w:hAnsi="Calibri"/>
                <w:b/>
                <w:color w:val="0F172A"/>
                <w:sz w:val="19"/>
              </w:rPr>
              <w:t>Competition Track &amp; Theme</w:t>
            </w:r>
          </w:p>
        </w:tc>
        <w:tc>
          <w:tcPr>
            <w:tcW w:type="dxa" w:w="6336"/>
            <w:shd w:fill="FFFFFF"/>
            <w:tcMar>
              <w:top w:w="80" w:type="dxa"/>
              <w:bottom w:w="80" w:type="dxa"/>
              <w:left w:w="120" w:type="dxa"/>
              <w:right w:w="120" w:type="dxa"/>
            </w:tcMar>
            <w:tcBorders>
              <w:top w:sz="4" w:val="single" w:color="CBD5E1"/>
              <w:bottom w:sz="4" w:val="single" w:color="CBD5E1"/>
              <w:left w:sz="4" w:val="single" w:color="CBD5E1"/>
              <w:right w:sz="4" w:val="single" w:color="CBD5E1"/>
            </w:tcBorders>
          </w:tcPr>
          <w:p>
            <w:pPr>
              <w:spacing w:before="0" w:after="0"/>
            </w:pPr>
            <w:r>
              <w:rPr>
                <w:rFonts w:ascii="Calibri" w:hAnsi="Calibri"/>
                <w:color w:val="334155"/>
                <w:sz w:val="19"/>
              </w:rPr>
              <w:t>DEV Community Hacktoberfest Open-Source AI Challenge: Week 4 — "Ghost in the Machine"</w:t>
            </w:r>
          </w:p>
        </w:tc>
      </w:tr>
      <w:tr>
        <w:tc>
          <w:tcPr>
            <w:tcW w:type="dxa" w:w="3024"/>
            <w:shd w:fill="F1F5F9"/>
            <w:tcMar>
              <w:top w:w="80" w:type="dxa"/>
              <w:bottom w:w="80" w:type="dxa"/>
              <w:left w:w="120" w:type="dxa"/>
              <w:right w:w="120" w:type="dxa"/>
            </w:tcMar>
            <w:tcBorders>
              <w:top w:sz="4" w:val="single" w:color="CBD5E1"/>
              <w:bottom w:sz="4" w:val="single" w:color="CBD5E1"/>
              <w:left w:sz="4" w:val="single" w:color="CBD5E1"/>
              <w:right w:sz="4" w:val="single" w:color="CBD5E1"/>
            </w:tcBorders>
          </w:tcPr>
          <w:p>
            <w:pPr>
              <w:spacing w:before="0" w:after="0"/>
            </w:pPr>
            <w:r>
              <w:rPr>
                <w:rFonts w:ascii="Calibri" w:hAnsi="Calibri"/>
                <w:b/>
                <w:color w:val="0F172A"/>
                <w:sz w:val="19"/>
              </w:rPr>
              <w:t>Core AI &amp; Agent Stack</w:t>
            </w:r>
          </w:p>
        </w:tc>
        <w:tc>
          <w:tcPr>
            <w:tcW w:type="dxa" w:w="6336"/>
            <w:shd w:fill="FFFFFF"/>
            <w:tcMar>
              <w:top w:w="80" w:type="dxa"/>
              <w:bottom w:w="80" w:type="dxa"/>
              <w:left w:w="120" w:type="dxa"/>
              <w:right w:w="120" w:type="dxa"/>
            </w:tcMar>
            <w:tcBorders>
              <w:top w:sz="4" w:val="single" w:color="CBD5E1"/>
              <w:bottom w:sz="4" w:val="single" w:color="CBD5E1"/>
              <w:left w:sz="4" w:val="single" w:color="CBD5E1"/>
              <w:right w:sz="4" w:val="single" w:color="CBD5E1"/>
            </w:tcBorders>
          </w:tcPr>
          <w:p>
            <w:pPr>
              <w:spacing w:before="0" w:after="0"/>
            </w:pPr>
            <w:r>
              <w:rPr>
                <w:rFonts w:ascii="Calibri" w:hAnsi="Calibri"/>
                <w:color w:val="334155"/>
                <w:sz w:val="19"/>
              </w:rPr>
              <w:t>Gemma 3 (Open-Weight LLM via Ollama / vLLM), Stagehand v4 SDK + Browserbase, Temporal, SerpApi</w:t>
            </w:r>
          </w:p>
        </w:tc>
      </w:tr>
      <w:tr>
        <w:tc>
          <w:tcPr>
            <w:tcW w:type="dxa" w:w="3024"/>
            <w:shd w:fill="F1F5F9"/>
            <w:tcMar>
              <w:top w:w="80" w:type="dxa"/>
              <w:bottom w:w="80" w:type="dxa"/>
              <w:left w:w="120" w:type="dxa"/>
              <w:right w:w="120" w:type="dxa"/>
            </w:tcMar>
            <w:tcBorders>
              <w:top w:sz="4" w:val="single" w:color="CBD5E1"/>
              <w:bottom w:sz="4" w:val="single" w:color="CBD5E1"/>
              <w:left w:sz="4" w:val="single" w:color="CBD5E1"/>
              <w:right w:sz="4" w:val="single" w:color="CBD5E1"/>
            </w:tcBorders>
          </w:tcPr>
          <w:p>
            <w:pPr>
              <w:spacing w:before="0" w:after="0"/>
            </w:pPr>
            <w:r>
              <w:rPr>
                <w:rFonts w:ascii="Calibri" w:hAnsi="Calibri"/>
                <w:b/>
                <w:color w:val="0F172A"/>
                <w:sz w:val="19"/>
              </w:rPr>
              <w:t>Frontend &amp; Observability</w:t>
            </w:r>
          </w:p>
        </w:tc>
        <w:tc>
          <w:tcPr>
            <w:tcW w:type="dxa" w:w="6336"/>
            <w:shd w:fill="FFFFFF"/>
            <w:tcMar>
              <w:top w:w="80" w:type="dxa"/>
              <w:bottom w:w="80" w:type="dxa"/>
              <w:left w:w="120" w:type="dxa"/>
              <w:right w:w="120" w:type="dxa"/>
            </w:tcMar>
            <w:tcBorders>
              <w:top w:sz="4" w:val="single" w:color="CBD5E1"/>
              <w:bottom w:sz="4" w:val="single" w:color="CBD5E1"/>
              <w:left w:sz="4" w:val="single" w:color="CBD5E1"/>
              <w:right w:sz="4" w:val="single" w:color="CBD5E1"/>
            </w:tcBorders>
          </w:tcPr>
          <w:p>
            <w:pPr>
              <w:spacing w:before="0" w:after="0"/>
            </w:pPr>
            <w:r>
              <w:rPr>
                <w:rFonts w:ascii="Calibri" w:hAnsi="Calibri"/>
                <w:color w:val="334155"/>
                <w:sz w:val="19"/>
              </w:rPr>
              <w:t>Next.js 15 (Dual-DOM Ectoplasm Slider), Tailwind CSS, Sentry Agent Tracing, Custom .tech Domain</w:t>
            </w:r>
          </w:p>
        </w:tc>
      </w:tr>
      <w:tr>
        <w:tc>
          <w:tcPr>
            <w:tcW w:type="dxa" w:w="3024"/>
            <w:shd w:fill="F1F5F9"/>
            <w:tcMar>
              <w:top w:w="80" w:type="dxa"/>
              <w:bottom w:w="80" w:type="dxa"/>
              <w:left w:w="120" w:type="dxa"/>
              <w:right w:w="120" w:type="dxa"/>
            </w:tcMar>
            <w:tcBorders>
              <w:top w:sz="4" w:val="single" w:color="CBD5E1"/>
              <w:bottom w:sz="4" w:val="single" w:color="CBD5E1"/>
              <w:left w:sz="4" w:val="single" w:color="CBD5E1"/>
              <w:right w:sz="4" w:val="single" w:color="CBD5E1"/>
            </w:tcBorders>
          </w:tcPr>
          <w:p>
            <w:pPr>
              <w:spacing w:before="0" w:after="0"/>
            </w:pPr>
            <w:r>
              <w:rPr>
                <w:rFonts w:ascii="Calibri" w:hAnsi="Calibri"/>
                <w:b/>
                <w:color w:val="0F172A"/>
                <w:sz w:val="19"/>
              </w:rPr>
              <w:t>Targeted Prize Pool Stack</w:t>
            </w:r>
          </w:p>
        </w:tc>
        <w:tc>
          <w:tcPr>
            <w:tcW w:type="dxa" w:w="6336"/>
            <w:shd w:fill="FFFFFF"/>
            <w:tcMar>
              <w:top w:w="80" w:type="dxa"/>
              <w:bottom w:w="80" w:type="dxa"/>
              <w:left w:w="120" w:type="dxa"/>
              <w:right w:w="120" w:type="dxa"/>
            </w:tcMar>
            <w:tcBorders>
              <w:top w:sz="4" w:val="single" w:color="CBD5E1"/>
              <w:bottom w:sz="4" w:val="single" w:color="CBD5E1"/>
              <w:left w:sz="4" w:val="single" w:color="CBD5E1"/>
              <w:right w:sz="4" w:val="single" w:color="CBD5E1"/>
            </w:tcBorders>
          </w:tcPr>
          <w:p>
            <w:pPr>
              <w:spacing w:before="0" w:after="0"/>
            </w:pPr>
            <w:r>
              <w:rPr>
                <w:rFonts w:ascii="Calibri" w:hAnsi="Calibri"/>
                <w:color w:val="334155"/>
                <w:sz w:val="19"/>
              </w:rPr>
              <w:t>$250 Overall + $800 Partner Stack (Gemma, DigitalOcean/Render, Browserbase, Temporal, SerpApi, Sentry, .tech)</w:t>
            </w:r>
          </w:p>
        </w:tc>
      </w:tr>
      <w:tr>
        <w:tc>
          <w:tcPr>
            <w:tcW w:type="dxa" w:w="3024"/>
            <w:shd w:fill="F1F5F9"/>
            <w:tcMar>
              <w:top w:w="80" w:type="dxa"/>
              <w:bottom w:w="80" w:type="dxa"/>
              <w:left w:w="120" w:type="dxa"/>
              <w:right w:w="120" w:type="dxa"/>
            </w:tcMar>
            <w:tcBorders>
              <w:top w:sz="4" w:val="single" w:color="CBD5E1"/>
              <w:bottom w:sz="4" w:val="single" w:color="CBD5E1"/>
              <w:left w:sz="4" w:val="single" w:color="CBD5E1"/>
              <w:right w:sz="4" w:val="single" w:color="CBD5E1"/>
            </w:tcBorders>
          </w:tcPr>
          <w:p>
            <w:pPr>
              <w:spacing w:before="0" w:after="0"/>
            </w:pPr>
            <w:r>
              <w:rPr>
                <w:rFonts w:ascii="Calibri" w:hAnsi="Calibri"/>
                <w:b/>
                <w:color w:val="0F172A"/>
                <w:sz w:val="19"/>
              </w:rPr>
              <w:t>Build Window &amp; Status</w:t>
            </w:r>
          </w:p>
        </w:tc>
        <w:tc>
          <w:tcPr>
            <w:tcW w:type="dxa" w:w="6336"/>
            <w:shd w:fill="FFFFFF"/>
            <w:tcMar>
              <w:top w:w="80" w:type="dxa"/>
              <w:bottom w:w="80" w:type="dxa"/>
              <w:left w:w="120" w:type="dxa"/>
              <w:right w:w="120" w:type="dxa"/>
            </w:tcMar>
            <w:tcBorders>
              <w:top w:sz="4" w:val="single" w:color="CBD5E1"/>
              <w:bottom w:sz="4" w:val="single" w:color="CBD5E1"/>
              <w:left w:sz="4" w:val="single" w:color="CBD5E1"/>
              <w:right w:sz="4" w:val="single" w:color="CBD5E1"/>
            </w:tcBorders>
          </w:tcPr>
          <w:p>
            <w:pPr>
              <w:spacing w:before="0" w:after="0"/>
            </w:pPr>
            <w:r>
              <w:rPr>
                <w:rFonts w:ascii="Calibri" w:hAnsi="Calibri"/>
                <w:color w:val="334155"/>
                <w:sz w:val="19"/>
              </w:rPr>
              <w:t>October 26 – October 31, 2026 (5-Day Rapid Prototype &amp; Technical Narrative Execution)</w:t>
            </w:r>
          </w:p>
        </w:tc>
      </w:tr>
    </w:tbl>
    <w:p>
      <w:pPr>
        <w:keepNext/>
        <w:spacing w:before="360" w:after="160"/>
        <w:pBdr>
          <w:bottom w:val="single" w:sz="12" w:space="4" w:color="059669"/>
        </w:pBdr>
      </w:pPr>
      <w:r>
        <w:rPr>
          <w:rFonts w:ascii="Calibri" w:hAnsi="Calibri"/>
          <w:b/>
          <w:color w:val="0F172A"/>
          <w:sz w:val="31"/>
        </w:rPr>
        <w:t>1. Executive Summary &amp; Project Vision</w:t>
      </w:r>
    </w:p>
    <w:p>
      <w:pPr>
        <w:spacing w:before="0" w:after="120" w:line="283" w:lineRule="auto"/>
      </w:pPr>
      <w:r>
        <w:rPr>
          <w:rFonts w:ascii="Calibri" w:hAnsi="Calibri"/>
          <w:color w:val="334155"/>
          <w:sz w:val="21"/>
        </w:rPr>
        <w:t>A vast majority of the early web (1995–2008)—including GeoCities community shrines, pioneering open-source documentation portals, early indie game fan sites, and personal webmaster logs—has either vanished completely or decayed into digital skeletons. Even when snapshots survive inside the Internet Archive's Wayback Machine, they are frequently crippled by 'secondary link rot': missing external stylesheets, dead image tags, broken framesets, defunct server-side CGI scripts (/cgi-bin/guestbook.pl), and truncated subpages that return HTTP 404 or 500 errors.</w:t>
      </w:r>
    </w:p>
    <w:p>
      <w:pPr>
        <w:spacing w:before="0" w:after="120" w:line="283" w:lineRule="auto"/>
      </w:pPr>
      <w:r>
        <w:rPr>
          <w:rFonts w:ascii="Calibri" w:hAnsi="Calibri"/>
          <w:color w:val="334155"/>
          <w:sz w:val="21"/>
        </w:rPr>
        <w:t>DeadNet Ectoplasm Browser is an autonomous digital archaeology agent and dual-engine web browser that exhumes decaying late-1990s and 2000s websites and resurrects them into living, interactive software in real time. Rather than displaying a static, broken archival capture, DeadNet dispatches a live headless browser agent (Browserbase + Stagehand) to inspect the rotting DOM tree, uses SerpApi to uncover surviving historical context across forums and web indices, and channels an open-weight language model (Gemma 3) to reconstruct missing assets, rewrite lost subpages with transparent provenance markers, and transpile dead server-side CGI scripts into working client-side JavaScript shims.</w:t>
      </w:r>
    </w:p>
    <w:tbl>
      <w:tblPr>
        <w:tblW w:type="auto" w:w="0"/>
        <w:jc w:val="center"/>
        <w:tblLayout w:type="fixed"/>
        <w:tblLook w:firstColumn="1" w:firstRow="1" w:lastColumn="0" w:lastRow="0" w:noHBand="0" w:noVBand="1" w:val="04A0"/>
      </w:tblPr>
      <w:tblGrid>
        <w:gridCol w:w="9360"/>
      </w:tblGrid>
      <w:tr>
        <w:tc>
          <w:tcPr>
            <w:tcW w:type="dxa" w:w="9360"/>
            <w:shd w:fill="ECFDF5"/>
            <w:tcMar>
              <w:top w:w="160" w:type="dxa"/>
              <w:bottom w:w="160" w:type="dxa"/>
              <w:left w:w="220" w:type="dxa"/>
              <w:right w:w="200" w:type="dxa"/>
            </w:tcMar>
            <w:tcBorders>
              <w:left w:sz="24" w:val="single" w:color="059669"/>
              <w:top w:sz="4" w:val="single" w:color="D1FAE5"/>
              <w:bottom w:sz="4" w:val="single" w:color="D1FAE5"/>
              <w:right w:sz="4" w:val="single" w:color="D1FAE5"/>
            </w:tcBorders>
          </w:tcPr>
          <w:p>
            <w:pPr>
              <w:spacing w:before="0" w:after="80"/>
            </w:pPr>
            <w:r>
              <w:rPr>
                <w:rFonts w:ascii="Calibri" w:hAnsi="Calibri"/>
                <w:b/>
                <w:color w:val="065F46"/>
                <w:sz w:val="22"/>
              </w:rPr>
              <w:t>THE SIGNATURE INTERACTION: THE "ECTOPLASM SLIDER"</w:t>
            </w:r>
          </w:p>
          <w:p>
            <w:pPr>
              <w:spacing w:before="40" w:after="40" w:line="276" w:lineRule="auto"/>
            </w:pPr>
            <w:r>
              <w:rPr>
                <w:rFonts w:ascii="Calibri" w:hAnsi="Calibri"/>
                <w:color w:val="1F2937"/>
                <w:sz w:val="20"/>
              </w:rPr>
              <w:t>At the top of the DeadNet viewport sits an interactive morphing control ranging from 1998 (Pure Ghost) to 2026 (Reincarnated):</w:t>
            </w:r>
          </w:p>
          <w:p>
            <w:pPr>
              <w:spacing w:before="40" w:after="40" w:line="276" w:lineRule="auto"/>
            </w:pPr>
            <w:r>
              <w:rPr>
                <w:rFonts w:ascii="Calibri" w:hAnsi="Calibri"/>
                <w:color w:val="1F2937"/>
                <w:sz w:val="20"/>
              </w:rPr>
              <w:t>• 0% (1998 CRT Mode): Renders the healed original website with restored pixel art, working web-rings, revived client-side CGI guestbooks, and authentic CRT scanlines.</w:t>
            </w:r>
          </w:p>
          <w:p>
            <w:pPr>
              <w:spacing w:before="40" w:after="40" w:line="276" w:lineRule="auto"/>
            </w:pPr>
            <w:r>
              <w:rPr>
                <w:rFonts w:ascii="Calibri" w:hAnsi="Calibri"/>
                <w:color w:val="1F2937"/>
                <w:sz w:val="20"/>
              </w:rPr>
              <w:t>• 50% (Haunted X-Ray Mode): Highlights the DOM in glowing emerald 'ectoplasm,' visually distinguishing original surviving archival HTML from AI-reconstructed blocks (marked via data-ectoplasm='reconstructed').</w:t>
            </w:r>
          </w:p>
          <w:p>
            <w:pPr>
              <w:spacing w:before="40" w:after="0" w:line="276" w:lineRule="auto"/>
            </w:pPr>
            <w:r>
              <w:rPr>
                <w:rFonts w:ascii="Calibri" w:hAnsi="Calibri"/>
                <w:color w:val="1F2937"/>
                <w:sz w:val="20"/>
              </w:rPr>
              <w:t>• 100% (2026 Reincarnated Mode): Dynamically morphs the extracted semantic data and functionality into a clean, responsive, WCAG-accessible modern web application without losing a single byte of historical soul.</w:t>
            </w:r>
          </w:p>
        </w:tc>
      </w:tr>
    </w:tbl>
    <w:p>
      <w:pPr>
        <w:spacing w:before="0" w:after="120"/>
      </w:pPr>
    </w:p>
    <w:p>
      <w:pPr>
        <w:keepNext/>
        <w:spacing w:before="360" w:after="160"/>
        <w:pBdr>
          <w:bottom w:val="single" w:sz="12" w:space="4" w:color="059669"/>
        </w:pBdr>
      </w:pPr>
      <w:r>
        <w:rPr>
          <w:rFonts w:ascii="Calibri" w:hAnsi="Calibri"/>
          <w:b/>
          <w:color w:val="0F172A"/>
          <w:sz w:val="31"/>
        </w:rPr>
        <w:t>2. Theme Alignment &amp; The Open-Source AI Thesis</w:t>
      </w:r>
    </w:p>
    <w:p>
      <w:pPr>
        <w:keepNext/>
        <w:spacing w:before="260" w:after="80"/>
      </w:pPr>
      <w:r>
        <w:rPr>
          <w:rFonts w:ascii="Calibri" w:hAnsi="Calibri"/>
          <w:b/>
          <w:color w:val="059669"/>
          <w:sz w:val="25"/>
        </w:rPr>
        <w:t>2.1 Dual Resonance with "Ghost in the Machine"</w:t>
      </w:r>
    </w:p>
    <w:p>
      <w:pPr>
        <w:spacing w:before="0" w:after="120" w:line="283" w:lineRule="auto"/>
      </w:pPr>
      <w:r>
        <w:rPr>
          <w:rFonts w:ascii="Calibri" w:hAnsi="Calibri"/>
          <w:color w:val="334155"/>
          <w:sz w:val="21"/>
        </w:rPr>
        <w:t>The Week 4 Hacktoberfest challenge bridges Halloween (October 31) and Día de los Muertos (November 1–2), asking builders to create something spooky or something that honors the past. DeadNet Ectoplasm Browser unites both interpretations in a single cohesive product:</w:t>
      </w:r>
    </w:p>
    <w:p>
      <w:pPr>
        <w:pStyle w:val="ListBullet"/>
        <w:spacing w:before="0" w:after="80" w:line="276" w:lineRule="auto"/>
      </w:pPr>
      <w:r>
        <w:rPr>
          <w:rFonts w:ascii="Calibri" w:hAnsi="Calibri"/>
          <w:b/>
          <w:color w:val="0F172A"/>
          <w:sz w:val="21"/>
        </w:rPr>
        <w:t xml:space="preserve">The Halloween Angle (Spooky Tech): </w:t>
      </w:r>
      <w:r>
        <w:rPr>
          <w:rFonts w:ascii="Calibri" w:hAnsi="Calibri"/>
          <w:color w:val="334155"/>
          <w:sz w:val="21"/>
        </w:rPr>
        <w:t>The UI acts as a paranormal DOM inspector. As the headless browser crawls a dead URL, it detects 'corpses' (404 subpages, 0x0 broken images, dead Perl scripts) and surrounds them with spectral telemetry before reanimating them.</w:t>
      </w:r>
    </w:p>
    <w:p>
      <w:pPr>
        <w:pStyle w:val="ListBullet"/>
        <w:spacing w:before="0" w:after="80" w:line="276" w:lineRule="auto"/>
      </w:pPr>
      <w:r>
        <w:rPr>
          <w:rFonts w:ascii="Calibri" w:hAnsi="Calibri"/>
          <w:b/>
          <w:color w:val="0F172A"/>
          <w:sz w:val="21"/>
        </w:rPr>
        <w:t xml:space="preserve">The Día de los Muertos Angle (Digital Ofrenda): </w:t>
      </w:r>
      <w:r>
        <w:rPr>
          <w:rFonts w:ascii="Calibri" w:hAnsi="Calibri"/>
          <w:color w:val="334155"/>
          <w:sz w:val="21"/>
        </w:rPr>
        <w:t>Early webmasters poured thousands of hours into free fan sites, tutorials, and early open-source libraries before centralized social platforms wiped them out. DeadNet treats these forgotten sites as digital ancestors—building a living tribute that preserves the creator's original voice, layout philosophy, and community artifacts.</w:t>
      </w:r>
    </w:p>
    <w:p>
      <w:pPr>
        <w:keepNext/>
        <w:spacing w:before="260" w:after="80"/>
      </w:pPr>
      <w:r>
        <w:rPr>
          <w:rFonts w:ascii="Calibri" w:hAnsi="Calibri"/>
          <w:b/>
          <w:color w:val="059669"/>
          <w:sz w:val="25"/>
        </w:rPr>
        <w:t>2.2 Why Open-Source AI is Non-Negotiable (Core Judging Requirement)</w:t>
      </w:r>
    </w:p>
    <w:p>
      <w:pPr>
        <w:spacing w:before="0" w:after="120" w:line="283" w:lineRule="auto"/>
      </w:pPr>
      <w:r>
        <w:rPr>
          <w:rFonts w:ascii="Calibri" w:hAnsi="Calibri"/>
          <w:color w:val="334155"/>
          <w:sz w:val="21"/>
        </w:rPr>
        <w:t>The challenge prompt explicitly requires explaining why open innovation works better than a closed approach for the project. DeadNet is architected around three foundational arguments that directly address the judges' rubric:</w:t>
      </w:r>
    </w:p>
    <w:tbl>
      <w:tblPr>
        <w:tblW w:type="auto" w:w="0"/>
        <w:jc w:val="center"/>
        <w:tblLayout w:type="fixed"/>
        <w:tblLook w:firstColumn="1" w:firstRow="1" w:lastColumn="0" w:lastRow="0" w:noHBand="0" w:noVBand="1" w:val="04A0"/>
      </w:tblPr>
      <w:tblGrid>
        <w:gridCol w:w="3168"/>
        <w:gridCol w:w="3168"/>
        <w:gridCol w:w="3168"/>
      </w:tblGrid>
      <w:tr>
        <w:tc>
          <w:tcPr>
            <w:tcW w:type="dxa" w:w="2160"/>
            <w:vAlign w:val="center"/>
            <w:shd w:fill="0F172A"/>
            <w:tcMar>
              <w:top w:w="120" w:type="dxa"/>
              <w:bottom w:w="120" w:type="dxa"/>
              <w:left w:w="140" w:type="dxa"/>
              <w:right w:w="140" w:type="dxa"/>
            </w:tcMar>
            <w:tcBorders>
              <w:top w:sz="8" w:val="single" w:color="0F172A"/>
              <w:bottom w:sz="12" w:val="single" w:color="10B981"/>
              <w:left w:sz="4" w:val="single" w:color="334155"/>
              <w:right w:sz="4" w:val="single" w:color="334155"/>
            </w:tcBorders>
          </w:tcPr>
          <w:p>
            <w:pPr>
              <w:spacing w:before="0" w:after="0"/>
            </w:pPr>
            <w:r>
              <w:rPr>
                <w:rFonts w:ascii="Calibri" w:hAnsi="Calibri"/>
                <w:b/>
                <w:color w:val="FFFFFF"/>
                <w:sz w:val="19"/>
              </w:rPr>
              <w:t>Open Innovation Pillar</w:t>
            </w:r>
          </w:p>
        </w:tc>
        <w:tc>
          <w:tcPr>
            <w:tcW w:type="dxa" w:w="3456"/>
            <w:vAlign w:val="center"/>
            <w:shd w:fill="0F172A"/>
            <w:tcMar>
              <w:top w:w="120" w:type="dxa"/>
              <w:bottom w:w="120" w:type="dxa"/>
              <w:left w:w="140" w:type="dxa"/>
              <w:right w:w="140" w:type="dxa"/>
            </w:tcMar>
            <w:tcBorders>
              <w:top w:sz="8" w:val="single" w:color="0F172A"/>
              <w:bottom w:sz="12" w:val="single" w:color="10B981"/>
              <w:left w:sz="4" w:val="single" w:color="334155"/>
              <w:right w:sz="4" w:val="single" w:color="334155"/>
            </w:tcBorders>
          </w:tcPr>
          <w:p>
            <w:pPr>
              <w:spacing w:before="0" w:after="0"/>
            </w:pPr>
            <w:r>
              <w:rPr>
                <w:rFonts w:ascii="Calibri" w:hAnsi="Calibri"/>
                <w:b/>
                <w:color w:val="FFFFFF"/>
                <w:sz w:val="19"/>
              </w:rPr>
              <w:t>Why Closed Cloud APIs Fail Here</w:t>
            </w:r>
          </w:p>
        </w:tc>
        <w:tc>
          <w:tcPr>
            <w:tcW w:type="dxa" w:w="3744"/>
            <w:vAlign w:val="center"/>
            <w:shd w:fill="0F172A"/>
            <w:tcMar>
              <w:top w:w="120" w:type="dxa"/>
              <w:bottom w:w="120" w:type="dxa"/>
              <w:left w:w="140" w:type="dxa"/>
              <w:right w:w="140" w:type="dxa"/>
            </w:tcMar>
            <w:tcBorders>
              <w:top w:sz="8" w:val="single" w:color="0F172A"/>
              <w:bottom w:sz="12" w:val="single" w:color="10B981"/>
              <w:left w:sz="4" w:val="single" w:color="334155"/>
              <w:right w:sz="4" w:val="single" w:color="334155"/>
            </w:tcBorders>
          </w:tcPr>
          <w:p>
            <w:pPr>
              <w:spacing w:before="0" w:after="0"/>
            </w:pPr>
            <w:r>
              <w:rPr>
                <w:rFonts w:ascii="Calibri" w:hAnsi="Calibri"/>
                <w:b/>
                <w:color w:val="FFFFFF"/>
                <w:sz w:val="19"/>
              </w:rPr>
              <w:t>How DeadNet's Open Stack Wins</w:t>
            </w:r>
          </w:p>
        </w:tc>
      </w:tr>
      <w:tr>
        <w:tc>
          <w:tcPr>
            <w:tcW w:type="dxa" w:w="2160"/>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1. Fighting Link Rot Without API Rot</w:t>
            </w:r>
          </w:p>
        </w:tc>
        <w:tc>
          <w:tcPr>
            <w:tcW w:type="dxa" w:w="3456"/>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The entire reason the early web died is because centralized services shut down, pivoted, or deprecated endpoints. Building a web preservation tool on a proprietary LLM API that deprecates model checkpoints every 12 months repeats the exact mistake that killed the early web.</w:t>
            </w:r>
          </w:p>
        </w:tc>
        <w:tc>
          <w:tcPr>
            <w:tcW w:type="dxa" w:w="3744"/>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By running open-weight Gemma 3 models via Ollama / vLLM alongside the open-source Stagehand browser harness, the entire resurrection engine can run offline on local hardware 20 years from now with zero API keys and zero vendor lock-in.</w:t>
            </w:r>
          </w:p>
        </w:tc>
      </w:tr>
      <w:tr>
        <w:tc>
          <w:tcPr>
            <w:tcW w:type="dxa" w:w="2160"/>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2. Unfiltered Historical &amp; Stylistic Fidelity</w:t>
            </w:r>
          </w:p>
        </w:tc>
        <w:tc>
          <w:tcPr>
            <w:tcW w:type="dxa" w:w="3456"/>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Commercial closed APIs are heavily RLHF-tuned to produce sterile, corporate prose and modern React/Tailwind code. When prompted to write chaotic 1998 HTML 3.2 (&lt;marquee&gt;, nested &lt;table border='3'&gt;, &lt;font face='Comic Sans MS'&gt;) or adopt a 1999 webmaster persona, closed models frequently sanitize or modernize the output.</w:t>
            </w:r>
          </w:p>
        </w:tc>
        <w:tc>
          <w:tcPr>
            <w:tcW w:type="dxa" w:w="3744"/>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Open-weight models allow full control over system prompts, sampling parameters, and lightweight LoRA adapters tuned on authentic 1990s HTML corpora—reconstructing period-accurate markup and dial-up era vernacular.</w:t>
            </w:r>
          </w:p>
        </w:tc>
      </w:tr>
      <w:tr>
        <w:tc>
          <w:tcPr>
            <w:tcW w:type="dxa" w:w="2160"/>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3. Zero Token Anxiety on Dirty Legacy DOMs</w:t>
            </w:r>
          </w:p>
        </w:tc>
        <w:tc>
          <w:tcPr>
            <w:tcW w:type="dxa" w:w="3456"/>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Raw archival HTML from 1999 is notoriously verbose—filled with deeply nested layout tables, inline spacer GIFs, and unminified JavaScript that consume 30,000+ input tokens per page crawl.</w:t>
            </w:r>
          </w:p>
        </w:tc>
        <w:tc>
          <w:tcPr>
            <w:tcW w:type="dxa" w:w="3744"/>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Running inference on local hardware or a flat-rate DigitalOcean GPU Droplet eliminates per-token marginal cost, allowing the agent to crawl and repair entire multi-page web-rings autonomously.</w:t>
            </w:r>
          </w:p>
        </w:tc>
      </w:tr>
    </w:tbl>
    <w:p>
      <w:pPr>
        <w:spacing w:after="80"/>
      </w:pPr>
    </w:p>
    <w:p>
      <w:pPr>
        <w:keepNext/>
        <w:spacing w:before="360" w:after="160"/>
        <w:pBdr>
          <w:bottom w:val="single" w:sz="12" w:space="4" w:color="059669"/>
        </w:pBdr>
      </w:pPr>
      <w:r>
        <w:rPr>
          <w:rFonts w:ascii="Calibri" w:hAnsi="Calibri"/>
          <w:b/>
          <w:color w:val="0F172A"/>
          <w:sz w:val="31"/>
        </w:rPr>
        <w:t>3. Core Product Features &amp; User Experience</w:t>
      </w:r>
    </w:p>
    <w:p>
      <w:pPr>
        <w:keepNext/>
        <w:spacing w:before="260" w:after="80"/>
      </w:pPr>
      <w:r>
        <w:rPr>
          <w:rFonts w:ascii="Calibri" w:hAnsi="Calibri"/>
          <w:b/>
          <w:color w:val="059669"/>
          <w:sz w:val="25"/>
        </w:rPr>
        <w:t>3.1 The Graveyard Preset Vault &amp; Custom URL Summoner</w:t>
      </w:r>
    </w:p>
    <w:p>
      <w:pPr>
        <w:spacing w:before="0" w:after="120" w:line="283" w:lineRule="auto"/>
      </w:pPr>
      <w:r>
        <w:rPr>
          <w:rFonts w:ascii="Calibri" w:hAnsi="Calibri"/>
          <w:color w:val="334155"/>
          <w:sz w:val="21"/>
        </w:rPr>
        <w:t>Judges evaluating hackathon entries need instant gratification within 10 seconds, while also wanting to verify that the system genuinely works on arbitrary inputs. DeadNet provides both:</w:t>
      </w:r>
    </w:p>
    <w:p>
      <w:pPr>
        <w:pStyle w:val="ListBullet"/>
        <w:spacing w:before="0" w:after="80" w:line="276" w:lineRule="auto"/>
      </w:pPr>
      <w:r>
        <w:rPr>
          <w:rFonts w:ascii="Calibri" w:hAnsi="Calibri"/>
          <w:b/>
          <w:color w:val="0F172A"/>
          <w:sz w:val="21"/>
        </w:rPr>
        <w:t xml:space="preserve">Instant 1-Click Haunted Presets: </w:t>
      </w:r>
      <w:r>
        <w:rPr>
          <w:rFonts w:ascii="Calibri" w:hAnsi="Calibri"/>
          <w:color w:val="334155"/>
          <w:sz w:val="21"/>
        </w:rPr>
        <w:t>Three pre-indexed iconic dead web artifacts (e.g., a 1999 Sega Dreamcast Underground Shrine, a 2002 Abandoned Open-Source C++ Audio Library Doc Site, and a 1998 Paranormal Sightings Webring) load instantaneously with pre-warmed Temporal state and cached Stagehand DOM snapshots.</w:t>
      </w:r>
    </w:p>
    <w:p>
      <w:pPr>
        <w:pStyle w:val="ListBullet"/>
        <w:spacing w:before="0" w:after="80" w:line="276" w:lineRule="auto"/>
      </w:pPr>
      <w:r>
        <w:rPr>
          <w:rFonts w:ascii="Calibri" w:hAnsi="Calibri"/>
          <w:b/>
          <w:color w:val="0F172A"/>
          <w:sz w:val="21"/>
        </w:rPr>
        <w:t xml:space="preserve">Live URL Exhumation Input: </w:t>
      </w:r>
      <w:r>
        <w:rPr>
          <w:rFonts w:ascii="Calibri" w:hAnsi="Calibri"/>
          <w:color w:val="334155"/>
          <w:sz w:val="21"/>
        </w:rPr>
        <w:t>Users can paste any dead domain or specific Wayback Machine URL to trigger a live, end-to-end Temporal excavation workflow.</w:t>
      </w:r>
    </w:p>
    <w:p>
      <w:pPr>
        <w:keepNext/>
        <w:spacing w:before="260" w:after="80"/>
      </w:pPr>
      <w:r>
        <w:rPr>
          <w:rFonts w:ascii="Calibri" w:hAnsi="Calibri"/>
          <w:b/>
          <w:color w:val="059669"/>
          <w:sz w:val="25"/>
        </w:rPr>
        <w:t>3.2 Split-Screen "Paranormal DOM Exhumation" Terminal</w:t>
      </w:r>
    </w:p>
    <w:p>
      <w:pPr>
        <w:spacing w:before="0" w:after="120" w:line="283" w:lineRule="auto"/>
      </w:pPr>
      <w:r>
        <w:rPr>
          <w:rFonts w:ascii="Calibri" w:hAnsi="Calibri"/>
          <w:color w:val="334155"/>
          <w:sz w:val="21"/>
        </w:rPr>
        <w:t>While a site is being resurrected, the left pane displays a live browser stream and diagnostic log powered by Browserbase and Stagehand. Instead of a boring loading spinner, the user sees real-time archaeological telemetry:</w:t>
      </w:r>
    </w:p>
    <w:p>
      <w:pPr>
        <w:pStyle w:val="ListBullet"/>
        <w:spacing w:before="0" w:after="80" w:line="276" w:lineRule="auto"/>
      </w:pPr>
      <w:r>
        <w:rPr>
          <w:rFonts w:ascii="Calibri" w:hAnsi="Calibri"/>
          <w:b/>
          <w:color w:val="0F172A"/>
          <w:sz w:val="21"/>
        </w:rPr>
        <w:t xml:space="preserve">Pathology Scanner: </w:t>
      </w:r>
      <w:r>
        <w:rPr>
          <w:rFonts w:ascii="Calibri" w:hAnsi="Calibri"/>
          <w:color w:val="334155"/>
          <w:sz w:val="21"/>
        </w:rPr>
        <w:t>Stagehand's observe() and extract() methods identify broken &lt;img&gt; nodes (naturalWidth === 0), dead &lt;a href&gt; anchors, missing CSS files, and defunct &lt;form action='/cgi-bin/...'&gt; tags.</w:t>
      </w:r>
    </w:p>
    <w:p>
      <w:pPr>
        <w:pStyle w:val="ListBullet"/>
        <w:spacing w:before="0" w:after="80" w:line="276" w:lineRule="auto"/>
      </w:pPr>
      <w:r>
        <w:rPr>
          <w:rFonts w:ascii="Calibri" w:hAnsi="Calibri"/>
          <w:b/>
          <w:color w:val="0F172A"/>
          <w:sz w:val="21"/>
        </w:rPr>
        <w:t xml:space="preserve">Historical Context Grounding: </w:t>
      </w:r>
      <w:r>
        <w:rPr>
          <w:rFonts w:ascii="Calibri" w:hAnsi="Calibri"/>
          <w:color w:val="334155"/>
          <w:sz w:val="21"/>
        </w:rPr>
        <w:t>For every broken element or missing subpage, the terminal shows live SerpApi queries retrieving surviving forum discussions, Reddit nostalgia threads, and CDX archive metadata describing what originally existed at that URL.</w:t>
      </w:r>
    </w:p>
    <w:p>
      <w:pPr>
        <w:keepNext/>
        <w:spacing w:before="260" w:after="80"/>
      </w:pPr>
      <w:r>
        <w:rPr>
          <w:rFonts w:ascii="Calibri" w:hAnsi="Calibri"/>
          <w:b/>
          <w:color w:val="059669"/>
          <w:sz w:val="25"/>
        </w:rPr>
        <w:t>3.3 Three-Pass AI Necromancy Engine</w:t>
      </w:r>
    </w:p>
    <w:p>
      <w:pPr>
        <w:spacing w:before="0" w:after="120" w:line="283" w:lineRule="auto"/>
      </w:pPr>
      <w:r>
        <w:rPr>
          <w:rFonts w:ascii="Calibri" w:hAnsi="Calibri"/>
          <w:color w:val="334155"/>
          <w:sz w:val="21"/>
        </w:rPr>
        <w:t>Once pathology extraction and historical search complete, Gemma 3 executes three specialized synthesis passes:</w:t>
      </w:r>
    </w:p>
    <w:p>
      <w:pPr>
        <w:pStyle w:val="ListBullet"/>
        <w:spacing w:before="0" w:after="80" w:line="276" w:lineRule="auto"/>
      </w:pPr>
      <w:r>
        <w:rPr>
          <w:rFonts w:ascii="Calibri" w:hAnsi="Calibri"/>
          <w:b/>
          <w:color w:val="0F172A"/>
          <w:sz w:val="21"/>
        </w:rPr>
        <w:t xml:space="preserve">Pass 1 — Context &amp; Subpage Healer: </w:t>
      </w:r>
      <w:r>
        <w:rPr>
          <w:rFonts w:ascii="Calibri" w:hAnsi="Calibri"/>
          <w:color w:val="334155"/>
          <w:sz w:val="21"/>
        </w:rPr>
        <w:t>Synthesizes missing linked pages and repairs truncated text in the exact voice and HTML 3.2 table structure of the original webmaster. Every generated node is tagged with data-ectoplasm='reconstructed' and data-confidence='0.89' alongside a tooltip citing the SerpApi/CDX source evidence.</w:t>
      </w:r>
    </w:p>
    <w:p>
      <w:pPr>
        <w:pStyle w:val="ListBullet"/>
        <w:spacing w:before="0" w:after="80" w:line="276" w:lineRule="auto"/>
      </w:pPr>
      <w:r>
        <w:rPr>
          <w:rFonts w:ascii="Calibri" w:hAnsi="Calibri"/>
          <w:b/>
          <w:color w:val="0F172A"/>
          <w:sz w:val="21"/>
        </w:rPr>
        <w:t xml:space="preserve">Pass 2 — CGI-to-Client-JS Reanimator: </w:t>
      </w:r>
      <w:r>
        <w:rPr>
          <w:rFonts w:ascii="Calibri" w:hAnsi="Calibri"/>
          <w:color w:val="334155"/>
          <w:sz w:val="21"/>
        </w:rPr>
        <w:t>In the 1990s, interactive elements like hit counters, guestbooks, polls, and web-ring randomizers relied on Perl/CGI scripts (/cgi-bin/guestbook.pl) that no longer exist on any server. DeadNet intercepts form submissions and replaces dead CGI endpoints with self-contained client-side JavaScript shims backed by local storage and a local Gemma persona simulating 1999 site visitors.</w:t>
      </w:r>
    </w:p>
    <w:p>
      <w:pPr>
        <w:pStyle w:val="ListBullet"/>
        <w:spacing w:before="0" w:after="80" w:line="276" w:lineRule="auto"/>
      </w:pPr>
      <w:r>
        <w:rPr>
          <w:rFonts w:ascii="Calibri" w:hAnsi="Calibri"/>
          <w:b/>
          <w:color w:val="0F172A"/>
          <w:sz w:val="21"/>
        </w:rPr>
        <w:t xml:space="preserve">Pass 3 — Semantic 2026 Reincarnator: </w:t>
      </w:r>
      <w:r>
        <w:rPr>
          <w:rFonts w:ascii="Calibri" w:hAnsi="Calibri"/>
          <w:color w:val="334155"/>
          <w:sz w:val="21"/>
        </w:rPr>
        <w:t>Extracts the core structured entities (articles, navigation hierarchy, downloadable files, community comments, metadata) into a strict JSON schema and renders a clean, modern 2026 web application view.</w:t>
      </w:r>
    </w:p>
    <w:p>
      <w:pPr>
        <w:keepNext/>
        <w:spacing w:before="260" w:after="80"/>
      </w:pPr>
      <w:r>
        <w:rPr>
          <w:rFonts w:ascii="Calibri" w:hAnsi="Calibri"/>
          <w:b/>
          <w:color w:val="059669"/>
          <w:sz w:val="25"/>
        </w:rPr>
        <w:t>3.4 The Interactive Ectoplasm Slider &amp; Ethical Provenance</w:t>
      </w:r>
    </w:p>
    <w:p>
      <w:pPr>
        <w:spacing w:before="0" w:after="120" w:line="283" w:lineRule="auto"/>
      </w:pPr>
      <w:r>
        <w:rPr>
          <w:rFonts w:ascii="Calibri" w:hAnsi="Calibri"/>
          <w:color w:val="334155"/>
          <w:sz w:val="21"/>
        </w:rPr>
        <w:t>A critical ethical hazard in AI archaeology is confusing real history with AI hallucination. DeadNet turns transparency into its centerpiece UI mechanic. Dragging the Ectoplasm Slider across the top bar lets users scrub between the 1998 Restored DOM, the 50% X-Ray Provenance View (where AI patches glow green and expose their prompt/search citations on hover), and the 100% 2026 Modern UI.</w:t>
      </w:r>
    </w:p>
    <w:p>
      <w:pPr>
        <w:keepNext/>
        <w:spacing w:before="360" w:after="160"/>
        <w:pBdr>
          <w:bottom w:val="single" w:sz="12" w:space="4" w:color="059669"/>
        </w:pBdr>
      </w:pPr>
      <w:r>
        <w:rPr>
          <w:rFonts w:ascii="Calibri" w:hAnsi="Calibri"/>
          <w:b/>
          <w:color w:val="0F172A"/>
          <w:sz w:val="31"/>
        </w:rPr>
        <w:t>4. System Architecture &amp; Technical Pipeline</w:t>
      </w:r>
    </w:p>
    <w:p>
      <w:pPr>
        <w:spacing w:before="0" w:after="120" w:line="283" w:lineRule="auto"/>
      </w:pPr>
      <w:r>
        <w:rPr>
          <w:rFonts w:ascii="Calibri" w:hAnsi="Calibri"/>
          <w:color w:val="334155"/>
          <w:sz w:val="21"/>
        </w:rPr>
        <w:t>DeadNet Ectoplasm Browser is structured as a resilient, observable four-layer architecture designed to survive flaky archival endpoints while maximizing partner category eligibility.</w:t>
      </w:r>
    </w:p>
    <w:tbl>
      <w:tblPr>
        <w:tblW w:type="auto" w:w="0"/>
        <w:jc w:val="center"/>
        <w:tblLayout w:type="fixed"/>
        <w:tblLook w:firstColumn="1" w:firstRow="1" w:lastColumn="0" w:lastRow="0" w:noHBand="0" w:noVBand="1" w:val="04A0"/>
      </w:tblPr>
      <w:tblGrid>
        <w:gridCol w:w="9360"/>
      </w:tblGrid>
      <w:tr>
        <w:tc>
          <w:tcPr>
            <w:tcW w:type="dxa" w:w="9360"/>
            <w:shd w:fill="111827"/>
            <w:tcMar>
              <w:top w:w="80" w:type="dxa"/>
              <w:bottom w:w="80" w:type="dxa"/>
              <w:left w:w="160" w:type="dxa"/>
              <w:right w:w="160" w:type="dxa"/>
            </w:tcMar>
          </w:tcPr>
          <w:p>
            <w:pPr>
              <w:spacing w:before="0" w:after="0"/>
            </w:pPr>
            <w:r>
              <w:rPr>
                <w:rFonts w:ascii="Consolas" w:hAnsi="Consolas"/>
                <w:b/>
                <w:color w:val="10B981"/>
                <w:sz w:val="19"/>
              </w:rPr>
              <w:t>ARCHITECTURE TOPOLOGY: DEADNET ECTOPLASM BROWSER</w:t>
            </w:r>
          </w:p>
        </w:tc>
      </w:tr>
      <w:tr>
        <w:tc>
          <w:tcPr>
            <w:tcW w:type="dxa" w:w="9360"/>
            <w:shd w:fill="1F2937"/>
            <w:tcMar>
              <w:top w:w="140" w:type="dxa"/>
              <w:bottom w:w="140" w:type="dxa"/>
              <w:left w:w="180" w:type="dxa"/>
              <w:right w:w="180" w:type="dxa"/>
            </w:tcMar>
            <w:tcBorders>
              <w:left w:sz="12" w:val="single" w:color="10B981"/>
              <w:top w:sz="4" w:val="single" w:color="374151"/>
              <w:bottom w:sz="4" w:val="single" w:color="374151"/>
              <w:right w:sz="4" w:val="single" w:color="374151"/>
            </w:tcBorders>
          </w:tcPr>
          <w:p>
            <w:pPr>
              <w:spacing w:before="0" w:after="0" w:line="264" w:lineRule="auto"/>
            </w:pPr>
            <w:r>
              <w:rPr>
                <w:rFonts w:ascii="Consolas" w:hAnsi="Consolas"/>
                <w:color w:val="E5E7EB"/>
                <w:sz w:val="17"/>
              </w:rPr>
              <w:t>+-----------------------------------------------------------------------------------+</w:t>
              <w:br/>
              <w:t>|                        NEXT.JS 15 FRONTEND (on .tech Domain)                      |</w:t>
              <w:br/>
              <w:t>|  +------------------------+  +-------------------------+  +--------------------+  |</w:t>
              <w:br/>
              <w:t>|  | 1998 Sandboxed Iframe  |  | 50% X-Ray Provenance    |  | 2026 Reincarnated  |  |</w:t>
              <w:br/>
              <w:t>|  | (Healed HTML3.2 + CRT) |&lt;&gt;| Overlay (DOM Diff View) |&lt;&gt;| React UI View      |  |</w:t>
              <w:br/>
              <w:t>|  +------------------------+  +-------------------------+  +--------------------+  |</w:t>
              <w:br/>
              <w:t>+-----------------------------------------+-----------------------------------------+</w:t>
              <w:br/>
              <w:t xml:space="preserve">                                          |</w:t>
              <w:br/>
              <w:t xml:space="preserve">                                          v</w:t>
              <w:br/>
              <w:t>+-----------------------------------------------------------------------------------+</w:t>
              <w:br/>
              <w:t>|               TEMPORAL DURABLE WORKFLOW ENGINE (ExhumationWorkflow)               |</w:t>
              <w:br/>
              <w:t>|   Guarantees state persistence, exponential backoff on 429s, and activity heartbeats |</w:t>
              <w:br/>
              <w:t>+------+--------------------------+--------------------------+----------------------+</w:t>
              <w:br/>
              <w:t xml:space="preserve">       |                          |                          |</w:t>
              <w:br/>
              <w:t xml:space="preserve">       v (Activity 1)             v (Activity 2)             v (Activity 3)</w:t>
              <w:br/>
              <w:t>+--------------+          +---------------+          +------------------------------+</w:t>
              <w:br/>
              <w:t>|  DISCOVERY   |          |  EXHUMATION   |          |      NECROMANCY ENGINE       |</w:t>
              <w:br/>
              <w:t>|  • Wayback   |          |  • Browserbase|          |  • Gemma 3 (27B/12B Open Wt) |</w:t>
              <w:br/>
              <w:t>|    CDX API   |          |    Cloud Grid |          |  • Hosted via Ollama / vLLM  |</w:t>
              <w:br/>
              <w:t>|  • SerpApi   |          |  • Stagehand  |          |    on DigitalOcean GPU       |</w:t>
              <w:br/>
              <w:t>|    Historical|          |    observe()  |          |  • 3-Pass DOM Patcher &amp;      |</w:t>
              <w:br/>
              <w:t>|    Grounding |          |    &amp; extract()|          |    CGI-to-JS Transpiler      |</w:t>
              <w:br/>
              <w:t>+------+-------+          +-------+-------+          +--------------+---------------+</w:t>
              <w:br/>
              <w:t xml:space="preserve">       |                          |                                 |</w:t>
              <w:br/>
              <w:t xml:space="preserve">       +--------------------------+---------------------------------+</w:t>
              <w:br/>
              <w:t xml:space="preserve">                                  |</w:t>
              <w:br/>
              <w:t xml:space="preserve">                                  v</w:t>
              <w:br/>
              <w:t>+-----------------------------------------------------------------------------------+</w:t>
              <w:br/>
              <w:t>|                  SENTRY AGENT TRACING &amp; TELEMETRY LAYER                           |</w:t>
              <w:br/>
              <w:t>|   Tracks per-pass token throughput, Stagehand DOM latency, and retry spans        |</w:t>
              <w:br/>
              <w:t>+-----------------------------------------------------------------------------------+</w:t>
            </w:r>
          </w:p>
        </w:tc>
      </w:tr>
    </w:tbl>
    <w:p>
      <w:pPr>
        <w:spacing w:before="0" w:after="120"/>
      </w:pPr>
    </w:p>
    <w:p>
      <w:pPr>
        <w:keepNext/>
        <w:spacing w:before="260" w:after="80"/>
      </w:pPr>
      <w:r>
        <w:rPr>
          <w:rFonts w:ascii="Calibri" w:hAnsi="Calibri"/>
          <w:b/>
          <w:color w:val="059669"/>
          <w:sz w:val="25"/>
        </w:rPr>
        <w:t>4.1 Layer-by-Layer Component Specification</w:t>
      </w:r>
    </w:p>
    <w:tbl>
      <w:tblPr>
        <w:tblW w:type="auto" w:w="0"/>
        <w:jc w:val="center"/>
        <w:tblLayout w:type="fixed"/>
        <w:tblLook w:firstColumn="1" w:firstRow="1" w:lastColumn="0" w:lastRow="0" w:noHBand="0" w:noVBand="1" w:val="04A0"/>
      </w:tblPr>
      <w:tblGrid>
        <w:gridCol w:w="3168"/>
        <w:gridCol w:w="3168"/>
        <w:gridCol w:w="3168"/>
      </w:tblGrid>
      <w:tr>
        <w:tc>
          <w:tcPr>
            <w:tcW w:type="dxa" w:w="2160"/>
            <w:vAlign w:val="center"/>
            <w:shd w:fill="0F172A"/>
            <w:tcMar>
              <w:top w:w="120" w:type="dxa"/>
              <w:bottom w:w="120" w:type="dxa"/>
              <w:left w:w="140" w:type="dxa"/>
              <w:right w:w="140" w:type="dxa"/>
            </w:tcMar>
            <w:tcBorders>
              <w:top w:sz="8" w:val="single" w:color="0F172A"/>
              <w:bottom w:sz="12" w:val="single" w:color="10B981"/>
              <w:left w:sz="4" w:val="single" w:color="334155"/>
              <w:right w:sz="4" w:val="single" w:color="334155"/>
            </w:tcBorders>
          </w:tcPr>
          <w:p>
            <w:pPr>
              <w:spacing w:before="0" w:after="0"/>
            </w:pPr>
            <w:r>
              <w:rPr>
                <w:rFonts w:ascii="Calibri" w:hAnsi="Calibri"/>
                <w:b/>
                <w:color w:val="FFFFFF"/>
                <w:sz w:val="19"/>
              </w:rPr>
              <w:t>Architectural Layer</w:t>
            </w:r>
          </w:p>
        </w:tc>
        <w:tc>
          <w:tcPr>
            <w:tcW w:type="dxa" w:w="2736"/>
            <w:vAlign w:val="center"/>
            <w:shd w:fill="0F172A"/>
            <w:tcMar>
              <w:top w:w="120" w:type="dxa"/>
              <w:bottom w:w="120" w:type="dxa"/>
              <w:left w:w="140" w:type="dxa"/>
              <w:right w:w="140" w:type="dxa"/>
            </w:tcMar>
            <w:tcBorders>
              <w:top w:sz="8" w:val="single" w:color="0F172A"/>
              <w:bottom w:sz="12" w:val="single" w:color="10B981"/>
              <w:left w:sz="4" w:val="single" w:color="334155"/>
              <w:right w:sz="4" w:val="single" w:color="334155"/>
            </w:tcBorders>
          </w:tcPr>
          <w:p>
            <w:pPr>
              <w:spacing w:before="0" w:after="0"/>
            </w:pPr>
            <w:r>
              <w:rPr>
                <w:rFonts w:ascii="Calibri" w:hAnsi="Calibri"/>
                <w:b/>
                <w:color w:val="FFFFFF"/>
                <w:sz w:val="19"/>
              </w:rPr>
              <w:t>Primary Technologies</w:t>
            </w:r>
          </w:p>
        </w:tc>
        <w:tc>
          <w:tcPr>
            <w:tcW w:type="dxa" w:w="4464"/>
            <w:vAlign w:val="center"/>
            <w:shd w:fill="0F172A"/>
            <w:tcMar>
              <w:top w:w="120" w:type="dxa"/>
              <w:bottom w:w="120" w:type="dxa"/>
              <w:left w:w="140" w:type="dxa"/>
              <w:right w:w="140" w:type="dxa"/>
            </w:tcMar>
            <w:tcBorders>
              <w:top w:sz="8" w:val="single" w:color="0F172A"/>
              <w:bottom w:sz="12" w:val="single" w:color="10B981"/>
              <w:left w:sz="4" w:val="single" w:color="334155"/>
              <w:right w:sz="4" w:val="single" w:color="334155"/>
            </w:tcBorders>
          </w:tcPr>
          <w:p>
            <w:pPr>
              <w:spacing w:before="0" w:after="0"/>
            </w:pPr>
            <w:r>
              <w:rPr>
                <w:rFonts w:ascii="Calibri" w:hAnsi="Calibri"/>
                <w:b/>
                <w:color w:val="FFFFFF"/>
                <w:sz w:val="19"/>
              </w:rPr>
              <w:t>Engineering Responsibilities &amp; Output Artifacts</w:t>
            </w:r>
          </w:p>
        </w:tc>
      </w:tr>
      <w:tr>
        <w:tc>
          <w:tcPr>
            <w:tcW w:type="dxa" w:w="2160"/>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1. Discovery &amp; Grounding Layer</w:t>
            </w:r>
          </w:p>
        </w:tc>
        <w:tc>
          <w:tcPr>
            <w:tcW w:type="dxa" w:w="2736"/>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Wayback CDX Server API, SerpApi (Google Search &amp; Archive Forums)</w:t>
            </w:r>
          </w:p>
        </w:tc>
        <w:tc>
          <w:tcPr>
            <w:tcW w:type="dxa" w:w="4464"/>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Queries web.archive.org/cdx/search/cdx to map historical captures, identify HTTP 200-&gt;404 regressions, and run SerpApi searches for external mentions, surviving text snippets, and site lore.</w:t>
            </w:r>
          </w:p>
        </w:tc>
      </w:tr>
      <w:tr>
        <w:tc>
          <w:tcPr>
            <w:tcW w:type="dxa" w:w="2160"/>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2. Headless DOM Exhumation Layer</w:t>
            </w:r>
          </w:p>
        </w:tc>
        <w:tc>
          <w:tcPr>
            <w:tcW w:type="dxa" w:w="2736"/>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Browserbase Cloud Browser, Stagehand v4 SDK (@browserbasehq/stagehand), Zod</w:t>
            </w:r>
          </w:p>
        </w:tc>
        <w:tc>
          <w:tcPr>
            <w:tcW w:type="dxa" w:w="4464"/>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Loads raw archival URLs (using the id_ timestamp modifier to strip Wayback's injected toolbar), evaluates DOM integrity, captures 'Before' screenshots, and extracts structured pathology manifests.</w:t>
            </w:r>
          </w:p>
        </w:tc>
      </w:tr>
      <w:tr>
        <w:tc>
          <w:tcPr>
            <w:tcW w:type="dxa" w:w="2160"/>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3. Open-Weight Necromancy Engine</w:t>
            </w:r>
          </w:p>
        </w:tc>
        <w:tc>
          <w:tcPr>
            <w:tcW w:type="dxa" w:w="2736"/>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Gemma 3 (12B/27B IT) via Ollama locally &amp; vLLM on DigitalOcean GPU Droplet</w:t>
            </w:r>
          </w:p>
        </w:tc>
        <w:tc>
          <w:tcPr>
            <w:tcW w:type="dxa" w:w="4464"/>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Consumes broken HTML + SerpApi context to generate: (a) patched retro HTML blocks, (b) working client-side JS replacements for dead CGI scripts, and (c) structured JSON for the 2026 UI.</w:t>
            </w:r>
          </w:p>
        </w:tc>
      </w:tr>
      <w:tr>
        <w:tc>
          <w:tcPr>
            <w:tcW w:type="dxa" w:w="2160"/>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4. Durable Orchestration Layer</w:t>
            </w:r>
          </w:p>
        </w:tc>
        <w:tc>
          <w:tcPr>
            <w:tcW w:type="dxa" w:w="2736"/>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Temporal TypeScript SDK (@temporalio/workflow, @temporalio/activity)</w:t>
            </w:r>
          </w:p>
        </w:tc>
        <w:tc>
          <w:tcPr>
            <w:tcW w:type="dxa" w:w="4464"/>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Wraps every external network call and LLM pass into idempotent Temporal Activities with custom RetryPolicies so archive rate-limits never crash a multi-page excavation.</w:t>
            </w:r>
          </w:p>
        </w:tc>
      </w:tr>
      <w:tr>
        <w:tc>
          <w:tcPr>
            <w:tcW w:type="dxa" w:w="2160"/>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5. Observability &amp; Frontend Layer</w:t>
            </w:r>
          </w:p>
        </w:tc>
        <w:tc>
          <w:tcPr>
            <w:tcW w:type="dxa" w:w="2736"/>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Next.js 15 App Router, Sentry AI Agent Monitoring, Tailwind CSS</w:t>
            </w:r>
          </w:p>
        </w:tc>
        <w:tc>
          <w:tcPr>
            <w:tcW w:type="dxa" w:w="4464"/>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Streams Temporal workflow progress via Server-Sent Events (SSE), renders the Ectoplasm Slider dual-DOM viewport, and records Sentry spans for token usage and latency analysis.</w:t>
            </w:r>
          </w:p>
        </w:tc>
      </w:tr>
    </w:tbl>
    <w:p>
      <w:pPr>
        <w:keepNext/>
        <w:spacing w:before="360" w:after="160"/>
        <w:pBdr>
          <w:bottom w:val="single" w:sz="12" w:space="4" w:color="059669"/>
        </w:pBdr>
      </w:pPr>
      <w:r>
        <w:rPr>
          <w:rFonts w:ascii="Calibri" w:hAnsi="Calibri"/>
          <w:b/>
          <w:color w:val="0F172A"/>
          <w:sz w:val="31"/>
        </w:rPr>
        <w:t>5. Data Schemas, Workflow Code &amp; Prompt Engineering</w:t>
      </w:r>
    </w:p>
    <w:p>
      <w:pPr>
        <w:keepNext/>
        <w:spacing w:before="260" w:after="80"/>
      </w:pPr>
      <w:r>
        <w:rPr>
          <w:rFonts w:ascii="Calibri" w:hAnsi="Calibri"/>
          <w:b/>
          <w:color w:val="059669"/>
          <w:sz w:val="25"/>
        </w:rPr>
        <w:t>5.1 Stagehand v4 DOM Pathology Extraction Schema (TypeScript + Zod)</w:t>
      </w:r>
    </w:p>
    <w:p>
      <w:pPr>
        <w:spacing w:before="0" w:after="120" w:line="283" w:lineRule="auto"/>
      </w:pPr>
      <w:r>
        <w:rPr>
          <w:rFonts w:ascii="Calibri" w:hAnsi="Calibri"/>
          <w:color w:val="334155"/>
          <w:sz w:val="21"/>
        </w:rPr>
        <w:t>To make the browser agent deterministic, Stagehand's extract() method is paired with a strict Zod schema that catalogs every broken artifact in the archival DOM alongside its surrounding semantic context:</w:t>
      </w:r>
    </w:p>
    <w:tbl>
      <w:tblPr>
        <w:tblW w:type="auto" w:w="0"/>
        <w:jc w:val="center"/>
        <w:tblLayout w:type="fixed"/>
        <w:tblLook w:firstColumn="1" w:firstRow="1" w:lastColumn="0" w:lastRow="0" w:noHBand="0" w:noVBand="1" w:val="04A0"/>
      </w:tblPr>
      <w:tblGrid>
        <w:gridCol w:w="9360"/>
      </w:tblGrid>
      <w:tr>
        <w:tc>
          <w:tcPr>
            <w:tcW w:type="dxa" w:w="9360"/>
            <w:shd w:fill="111827"/>
            <w:tcMar>
              <w:top w:w="80" w:type="dxa"/>
              <w:bottom w:w="80" w:type="dxa"/>
              <w:left w:w="160" w:type="dxa"/>
              <w:right w:w="160" w:type="dxa"/>
            </w:tcMar>
          </w:tcPr>
          <w:p>
            <w:pPr>
              <w:spacing w:before="0" w:after="0"/>
            </w:pPr>
            <w:r>
              <w:rPr>
                <w:rFonts w:ascii="Consolas" w:hAnsi="Consolas"/>
                <w:b/>
                <w:color w:val="10B981"/>
                <w:sz w:val="19"/>
              </w:rPr>
              <w:t>src/agents/exhumeDom.ts — Stagehand + Browserbase Pathology Extractor</w:t>
            </w:r>
          </w:p>
        </w:tc>
      </w:tr>
      <w:tr>
        <w:tc>
          <w:tcPr>
            <w:tcW w:type="dxa" w:w="9360"/>
            <w:shd w:fill="1F2937"/>
            <w:tcMar>
              <w:top w:w="140" w:type="dxa"/>
              <w:bottom w:w="140" w:type="dxa"/>
              <w:left w:w="180" w:type="dxa"/>
              <w:right w:w="180" w:type="dxa"/>
            </w:tcMar>
            <w:tcBorders>
              <w:left w:sz="12" w:val="single" w:color="10B981"/>
              <w:top w:sz="4" w:val="single" w:color="374151"/>
              <w:bottom w:sz="4" w:val="single" w:color="374151"/>
              <w:right w:sz="4" w:val="single" w:color="374151"/>
            </w:tcBorders>
          </w:tcPr>
          <w:p>
            <w:pPr>
              <w:spacing w:before="0" w:after="0" w:line="264" w:lineRule="auto"/>
            </w:pPr>
            <w:r>
              <w:rPr>
                <w:rFonts w:ascii="Consolas" w:hAnsi="Consolas"/>
                <w:color w:val="E5E7EB"/>
                <w:sz w:val="17"/>
              </w:rPr>
              <w:t>import { Stagehand } from "@browserbasehq/stagehand";</w:t>
              <w:br/>
              <w:t>import { z } from "zod";</w:t>
              <w:br/>
              <w:br/>
              <w:t>export const DeadDomManifestSchema = z.object({</w:t>
              <w:br/>
              <w:t xml:space="preserve">  siteTitle: z.string(),</w:t>
              <w:br/>
              <w:t xml:space="preserve">  estimatedEra: z.string().describe("e.g., 'Late 1998 GeoCities HTML 3.2'"),</w:t>
              <w:br/>
              <w:t xml:space="preserve">  originalAuthorHandle: z.string().optional(),</w:t>
              <w:br/>
              <w:t xml:space="preserve">  survivingMainContent: z.string(),</w:t>
              <w:br/>
              <w:t xml:space="preserve">  brokenImages: z.array(z.object({</w:t>
              <w:br/>
              <w:t xml:space="preserve">    src: z.string(),</w:t>
              <w:br/>
              <w:t xml:space="preserve">    altText: z.string().optional(),</w:t>
              <w:br/>
              <w:t xml:space="preserve">    surroundingContext: z.string().describe("Text or table cell surrounding the broken image")</w:t>
              <w:br/>
              <w:t xml:space="preserve">  })),</w:t>
              <w:br/>
              <w:t xml:space="preserve">  deadLinks: z.array(z.object({</w:t>
              <w:br/>
              <w:t xml:space="preserve">    href: z.string(),</w:t>
              <w:br/>
              <w:t xml:space="preserve">    anchorText: z.string(),</w:t>
              <w:br/>
              <w:t xml:space="preserve">    expectedTopic: z.string()</w:t>
              <w:br/>
              <w:t xml:space="preserve">  })),</w:t>
              <w:br/>
              <w:t xml:space="preserve">  defunctScriptsAndForms: z.array(z.object({</w:t>
              <w:br/>
              <w:t xml:space="preserve">    actionUrl: z.string().describe("e.g., '/cgi-bin/guestbook.pl' or 'counter.cgi'"),</w:t>
              <w:br/>
              <w:t xml:space="preserve">    formHtml: z.string(),</w:t>
              <w:br/>
              <w:t xml:space="preserve">    intendedBehavior: z.string()</w:t>
              <w:br/>
              <w:t xml:space="preserve">  }))</w:t>
              <w:br/>
              <w:t>});</w:t>
              <w:br/>
              <w:br/>
              <w:t>export async function exhumeArchivalDom(waybackRawUrl: string) {</w:t>
              <w:br/>
              <w:t xml:space="preserve">  const stagehand = new Stagehand({ env: "BROWSERBASE" });</w:t>
              <w:br/>
              <w:t xml:space="preserve">  await stagehand.init();</w:t>
              <w:br/>
              <w:t xml:space="preserve">  const page = stagehand.page;</w:t>
              <w:br/>
              <w:br/>
              <w:t xml:space="preserve">  // Use Wayback 'id_' modifier to fetch unaltered original HTML without Archive toolbar</w:t>
              <w:br/>
              <w:t xml:space="preserve">  await page.goto(waybackRawUrl, { waitUntil: "domcontentloaded", timeout: 30000 });</w:t>
              <w:br/>
              <w:br/>
              <w:t xml:space="preserve">  const manifest = await page.extract({</w:t>
              <w:br/>
              <w:t xml:space="preserve">    instruction: "Analyze this archival webpage. Identify all broken images, dead links, " +</w:t>
              <w:br/>
              <w:t xml:space="preserve">                 "and defunct CGI forms/applets along with their surrounding context.",</w:t>
              <w:br/>
              <w:t xml:space="preserve">    schema: DeadDomManifestSchema,</w:t>
              <w:br/>
              <w:t xml:space="preserve">  });</w:t>
              <w:br/>
              <w:br/>
              <w:t xml:space="preserve">  const beforeScreenshot = await page.screenshot({ fullPage: true });</w:t>
              <w:br/>
              <w:t xml:space="preserve">  await stagehand.close();</w:t>
              <w:br/>
              <w:t xml:space="preserve">  return { manifest, beforeScreenshot: beforeScreenshot.toString("base64") };</w:t>
              <w:br/>
              <w:t>}</w:t>
            </w:r>
          </w:p>
        </w:tc>
      </w:tr>
    </w:tbl>
    <w:p>
      <w:pPr>
        <w:spacing w:before="0" w:after="120"/>
      </w:pPr>
    </w:p>
    <w:p>
      <w:pPr>
        <w:keepNext/>
        <w:spacing w:before="260" w:after="80"/>
      </w:pPr>
      <w:r>
        <w:rPr>
          <w:rFonts w:ascii="Calibri" w:hAnsi="Calibri"/>
          <w:b/>
          <w:color w:val="059669"/>
          <w:sz w:val="25"/>
        </w:rPr>
        <w:t>5.2 Durable Temporal Workflow Specification</w:t>
      </w:r>
    </w:p>
    <w:p>
      <w:pPr>
        <w:spacing w:before="0" w:after="120" w:line="283" w:lineRule="auto"/>
      </w:pPr>
      <w:r>
        <w:rPr>
          <w:rFonts w:ascii="Calibri" w:hAnsi="Calibri"/>
          <w:color w:val="334155"/>
          <w:sz w:val="21"/>
        </w:rPr>
        <w:t>Archive endpoints frequently throttle connections or hang for 20+ seconds. Wrapping the four stages inside a Temporal workflow ensures durability and qualifies directly for the Best Use of Temporal prize category:</w:t>
      </w:r>
    </w:p>
    <w:tbl>
      <w:tblPr>
        <w:tblW w:type="auto" w:w="0"/>
        <w:jc w:val="center"/>
        <w:tblLayout w:type="fixed"/>
        <w:tblLook w:firstColumn="1" w:firstRow="1" w:lastColumn="0" w:lastRow="0" w:noHBand="0" w:noVBand="1" w:val="04A0"/>
      </w:tblPr>
      <w:tblGrid>
        <w:gridCol w:w="9360"/>
      </w:tblGrid>
      <w:tr>
        <w:tc>
          <w:tcPr>
            <w:tcW w:type="dxa" w:w="9360"/>
            <w:shd w:fill="111827"/>
            <w:tcMar>
              <w:top w:w="80" w:type="dxa"/>
              <w:bottom w:w="80" w:type="dxa"/>
              <w:left w:w="160" w:type="dxa"/>
              <w:right w:w="160" w:type="dxa"/>
            </w:tcMar>
          </w:tcPr>
          <w:p>
            <w:pPr>
              <w:spacing w:before="0" w:after="0"/>
            </w:pPr>
            <w:r>
              <w:rPr>
                <w:rFonts w:ascii="Consolas" w:hAnsi="Consolas"/>
                <w:b/>
                <w:color w:val="10B981"/>
                <w:sz w:val="19"/>
              </w:rPr>
              <w:t>src/temporal/workflows.ts — Resilient Multi-Step Excavation Workflow</w:t>
            </w:r>
          </w:p>
        </w:tc>
      </w:tr>
      <w:tr>
        <w:tc>
          <w:tcPr>
            <w:tcW w:type="dxa" w:w="9360"/>
            <w:shd w:fill="1F2937"/>
            <w:tcMar>
              <w:top w:w="140" w:type="dxa"/>
              <w:bottom w:w="140" w:type="dxa"/>
              <w:left w:w="180" w:type="dxa"/>
              <w:right w:w="180" w:type="dxa"/>
            </w:tcMar>
            <w:tcBorders>
              <w:left w:sz="12" w:val="single" w:color="10B981"/>
              <w:top w:sz="4" w:val="single" w:color="374151"/>
              <w:bottom w:sz="4" w:val="single" w:color="374151"/>
              <w:right w:sz="4" w:val="single" w:color="374151"/>
            </w:tcBorders>
          </w:tcPr>
          <w:p>
            <w:pPr>
              <w:spacing w:before="0" w:after="0" w:line="264" w:lineRule="auto"/>
            </w:pPr>
            <w:r>
              <w:rPr>
                <w:rFonts w:ascii="Consolas" w:hAnsi="Consolas"/>
                <w:color w:val="E5E7EB"/>
                <w:sz w:val="17"/>
              </w:rPr>
              <w:t>import { proxyActivities } from "@temporalio/workflow";</w:t>
              <w:br/>
              <w:t>import type * as activities from "./activities";</w:t>
              <w:br/>
              <w:br/>
              <w:t>const {</w:t>
              <w:br/>
              <w:t xml:space="preserve">  fetchWaybackCdxManifest,</w:t>
              <w:br/>
              <w:t xml:space="preserve">  enrichWithSerpApiLore,</w:t>
              <w:br/>
              <w:t xml:space="preserve">  exhumeArchivalDom,</w:t>
              <w:br/>
              <w:t xml:space="preserve">  synthesizeEctoplasmPatch</w:t>
              <w:br/>
              <w:t>} = proxyActivities&lt;typeof activities&gt;({</w:t>
              <w:br/>
              <w:t xml:space="preserve">  startToCloseTimeout: "2 minutes",</w:t>
              <w:br/>
              <w:t xml:space="preserve">  retry: {</w:t>
              <w:br/>
              <w:t xml:space="preserve">    initialInterval: "2 seconds",</w:t>
              <w:br/>
              <w:t xml:space="preserve">    backoffCoefficient: 2.0,</w:t>
              <w:br/>
              <w:t xml:space="preserve">    maximumAttempts: 4,</w:t>
              <w:br/>
              <w:t xml:space="preserve">    nonRetryableErrorTypes: ["InvalidUrlError"]</w:t>
              <w:br/>
              <w:t xml:space="preserve">  }</w:t>
              <w:br/>
              <w:t>});</w:t>
              <w:br/>
              <w:br/>
              <w:t>export async function resurrectWebsiteWorkflow(targetUrl: string, targetYear: string) {</w:t>
              <w:br/>
              <w:t xml:space="preserve">  // Step 1: Locate surviving snapshots &amp; dead subpages via CDX API</w:t>
              <w:br/>
              <w:t xml:space="preserve">  const cdxData = await fetchWaybackCdxManifest(targetUrl, targetYear);</w:t>
              <w:br/>
              <w:br/>
              <w:t xml:space="preserve">  // Step 2: Crawl broken snapshot in headless Browserbase via Stagehand</w:t>
              <w:br/>
              <w:t xml:space="preserve">  const domPathology = await exhumeArchivalDom(cdxData.bestRawSnapshotUrl);</w:t>
              <w:br/>
              <w:br/>
              <w:t xml:space="preserve">  // Step 3: Ground missing links/context in real historical mentions via SerpApi</w:t>
              <w:br/>
              <w:t xml:space="preserve">  const historicalLore = await enrichWithSerpApiLore(targetUrl, domPathology.manifest);</w:t>
              <w:br/>
              <w:br/>
              <w:t xml:space="preserve">  // Step 4: Run open-weight Gemma 3 to synthesize 1998 patch + CGI shims + 2026 UI</w:t>
              <w:br/>
              <w:t xml:space="preserve">  const resurrectedBundle = await synthesizeEctoplasmPatch({</w:t>
              <w:br/>
              <w:t xml:space="preserve">    manifest: domPathology.manifest,</w:t>
              <w:br/>
              <w:t xml:space="preserve">    lore: historicalLore,</w:t>
              <w:br/>
              <w:t xml:space="preserve">    rawHtml: cdxData.rawHtml</w:t>
              <w:br/>
              <w:t xml:space="preserve">  });</w:t>
              <w:br/>
              <w:br/>
              <w:t xml:space="preserve">  return resurrectedBundle;</w:t>
              <w:br/>
              <w:t>}</w:t>
            </w:r>
          </w:p>
        </w:tc>
      </w:tr>
    </w:tbl>
    <w:p>
      <w:pPr>
        <w:spacing w:before="0" w:after="120"/>
      </w:pPr>
    </w:p>
    <w:p>
      <w:pPr>
        <w:keepNext/>
        <w:spacing w:before="260" w:after="80"/>
      </w:pPr>
      <w:r>
        <w:rPr>
          <w:rFonts w:ascii="Calibri" w:hAnsi="Calibri"/>
          <w:b/>
          <w:color w:val="059669"/>
          <w:sz w:val="25"/>
        </w:rPr>
        <w:t>5.3 Open-Weight Gemma 3 System Prompt Architecture</w:t>
      </w:r>
    </w:p>
    <w:p>
      <w:pPr>
        <w:spacing w:before="0" w:after="120" w:line="283" w:lineRule="auto"/>
      </w:pPr>
      <w:r>
        <w:rPr>
          <w:rFonts w:ascii="Calibri" w:hAnsi="Calibri"/>
          <w:color w:val="334155"/>
          <w:sz w:val="21"/>
        </w:rPr>
        <w:t>The Gemma 3 prompt is engineered to preserve period-accurate HTML 3.2 quirks while strictly isolating AI-reconstructed nodes with provenance attributes:</w:t>
      </w:r>
    </w:p>
    <w:tbl>
      <w:tblPr>
        <w:tblW w:type="auto" w:w="0"/>
        <w:jc w:val="center"/>
        <w:tblLayout w:type="fixed"/>
        <w:tblLook w:firstColumn="1" w:firstRow="1" w:lastColumn="0" w:lastRow="0" w:noHBand="0" w:noVBand="1" w:val="04A0"/>
      </w:tblPr>
      <w:tblGrid>
        <w:gridCol w:w="9360"/>
      </w:tblGrid>
      <w:tr>
        <w:tc>
          <w:tcPr>
            <w:tcW w:type="dxa" w:w="9360"/>
            <w:shd w:fill="111827"/>
            <w:tcMar>
              <w:top w:w="80" w:type="dxa"/>
              <w:bottom w:w="80" w:type="dxa"/>
              <w:left w:w="160" w:type="dxa"/>
              <w:right w:w="160" w:type="dxa"/>
            </w:tcMar>
          </w:tcPr>
          <w:p>
            <w:pPr>
              <w:spacing w:before="0" w:after="0"/>
            </w:pPr>
            <w:r>
              <w:rPr>
                <w:rFonts w:ascii="Consolas" w:hAnsi="Consolas"/>
                <w:b/>
                <w:color w:val="10B981"/>
                <w:sz w:val="19"/>
              </w:rPr>
              <w:t>src/prompts/necromancerSystemPrompt.txt — Provenance-Aware Restoration Prompt</w:t>
            </w:r>
          </w:p>
        </w:tc>
      </w:tr>
      <w:tr>
        <w:tc>
          <w:tcPr>
            <w:tcW w:type="dxa" w:w="9360"/>
            <w:shd w:fill="1F2937"/>
            <w:tcMar>
              <w:top w:w="140" w:type="dxa"/>
              <w:bottom w:w="140" w:type="dxa"/>
              <w:left w:w="180" w:type="dxa"/>
              <w:right w:w="180" w:type="dxa"/>
            </w:tcMar>
            <w:tcBorders>
              <w:left w:sz="12" w:val="single" w:color="10B981"/>
              <w:top w:sz="4" w:val="single" w:color="374151"/>
              <w:bottom w:sz="4" w:val="single" w:color="374151"/>
              <w:right w:sz="4" w:val="single" w:color="374151"/>
            </w:tcBorders>
          </w:tcPr>
          <w:p>
            <w:pPr>
              <w:spacing w:before="0" w:after="0" w:line="264" w:lineRule="auto"/>
            </w:pPr>
            <w:r>
              <w:rPr>
                <w:rFonts w:ascii="Consolas" w:hAnsi="Consolas"/>
                <w:color w:val="E5E7EB"/>
                <w:sz w:val="17"/>
              </w:rPr>
              <w:t>SYSTEM PROMPT (GEMMA 3 - 27B-IT NECROMANCY ENGINE):</w:t>
              <w:br/>
              <w:t>You are DeadNet-Necromancer, an open-source digital archaeology model restoring a decaying</w:t>
              <w:br/>
              <w:t>webpage from {estimatedEra}. You are given:</w:t>
              <w:br/>
              <w:t>1. The surviving broken HTML source.</w:t>
              <w:br/>
              <w:t>2. A Stagehand DOM pathology manifest listing broken images, dead links, and defunct CGI forms.</w:t>
              <w:br/>
              <w:t>3. Real historical mentions retrieved via SerpApi describing the original site.</w:t>
              <w:br/>
              <w:br/>
              <w:t>STRICT RESTORATION RULES:</w:t>
              <w:br/>
              <w:t>- PRESERVE AUTHENTIC ERA MARKUP: Keep original &lt;table border&gt;, &lt;font&gt;, &lt;marquee&gt;, and inline</w:t>
              <w:br/>
              <w:t xml:space="preserve">  styles intact. Never sanitize the author's late-90s webmaster voice into corporate prose.</w:t>
              <w:br/>
              <w:t>- PROVENANCE TAGGING (CRITICAL): Every HTML element, text paragraph, or SVG placeholder you</w:t>
              <w:br/>
              <w:t xml:space="preserve">  reconstruct MUST include the attributes:</w:t>
              <w:br/>
              <w:t xml:space="preserve">  data-ectoplasm="reconstructed"</w:t>
              <w:br/>
              <w:t xml:space="preserve">  data-evidence="&lt;brief citation of the SerpApi snippet or surrounding DOM clue&gt;"</w:t>
              <w:br/>
              <w:t>- CGI REANIMATION: Replace any dead &lt;form action="/cgi-bin/..."&gt; with an inline client-side</w:t>
              <w:br/>
              <w:t xml:space="preserve">  JavaScript handler (window.__ectoplasmHandleForm) that simulates the 1999 server response</w:t>
              <w:br/>
              <w:t xml:space="preserve">  inside the browser DOM without external server dependencies.</w:t>
            </w:r>
          </w:p>
        </w:tc>
      </w:tr>
    </w:tbl>
    <w:p>
      <w:pPr>
        <w:spacing w:before="0" w:after="120"/>
      </w:pPr>
    </w:p>
    <w:p>
      <w:pPr>
        <w:keepNext/>
        <w:spacing w:before="360" w:after="160"/>
        <w:pBdr>
          <w:bottom w:val="single" w:sz="12" w:space="4" w:color="059669"/>
        </w:pBdr>
      </w:pPr>
      <w:r>
        <w:rPr>
          <w:rFonts w:ascii="Calibri" w:hAnsi="Calibri"/>
          <w:b/>
          <w:color w:val="0F172A"/>
          <w:sz w:val="31"/>
        </w:rPr>
        <w:t>6. Partner Prize Category Stacking Strategy</w:t>
      </w:r>
    </w:p>
    <w:p>
      <w:pPr>
        <w:spacing w:before="0" w:after="120" w:line="283" w:lineRule="auto"/>
      </w:pPr>
      <w:r>
        <w:rPr>
          <w:rFonts w:ascii="Calibri" w:hAnsi="Calibri"/>
          <w:color w:val="334155"/>
          <w:sz w:val="21"/>
        </w:rPr>
        <w:t>Hacktoberfest Week 4 rules allow a single project to enter every partner category it genuinely integrates. While each submission can only win one prize per challenge week, opting into 7 well-integrated categories maximizes the probability of winning either the Overall Top Prize ($250) or a less-crowded Featured/Partner category ($200 / $100).</w:t>
      </w:r>
    </w:p>
    <w:tbl>
      <w:tblPr>
        <w:tblW w:type="auto" w:w="0"/>
        <w:jc w:val="center"/>
        <w:tblLayout w:type="fixed"/>
        <w:tblLook w:firstColumn="1" w:firstRow="1" w:lastColumn="0" w:lastRow="0" w:noHBand="0" w:noVBand="1" w:val="04A0"/>
      </w:tblPr>
      <w:tblGrid>
        <w:gridCol w:w="2376"/>
        <w:gridCol w:w="2376"/>
        <w:gridCol w:w="2376"/>
        <w:gridCol w:w="2376"/>
      </w:tblGrid>
      <w:tr>
        <w:tc>
          <w:tcPr>
            <w:tcW w:type="dxa" w:w="2016"/>
            <w:vAlign w:val="center"/>
            <w:shd w:fill="0F172A"/>
            <w:tcMar>
              <w:top w:w="120" w:type="dxa"/>
              <w:bottom w:w="120" w:type="dxa"/>
              <w:left w:w="140" w:type="dxa"/>
              <w:right w:w="140" w:type="dxa"/>
            </w:tcMar>
            <w:tcBorders>
              <w:top w:sz="8" w:val="single" w:color="0F172A"/>
              <w:bottom w:sz="12" w:val="single" w:color="10B981"/>
              <w:left w:sz="4" w:val="single" w:color="334155"/>
              <w:right w:sz="4" w:val="single" w:color="334155"/>
            </w:tcBorders>
          </w:tcPr>
          <w:p>
            <w:pPr>
              <w:spacing w:before="0" w:after="0"/>
            </w:pPr>
            <w:r>
              <w:rPr>
                <w:rFonts w:ascii="Calibri" w:hAnsi="Calibri"/>
                <w:b/>
                <w:color w:val="FFFFFF"/>
                <w:sz w:val="19"/>
              </w:rPr>
              <w:t>Prize Category</w:t>
            </w:r>
          </w:p>
        </w:tc>
        <w:tc>
          <w:tcPr>
            <w:tcW w:type="dxa" w:w="1152"/>
            <w:vAlign w:val="center"/>
            <w:shd w:fill="0F172A"/>
            <w:tcMar>
              <w:top w:w="120" w:type="dxa"/>
              <w:bottom w:w="120" w:type="dxa"/>
              <w:left w:w="140" w:type="dxa"/>
              <w:right w:w="140" w:type="dxa"/>
            </w:tcMar>
            <w:tcBorders>
              <w:top w:sz="8" w:val="single" w:color="0F172A"/>
              <w:bottom w:sz="12" w:val="single" w:color="10B981"/>
              <w:left w:sz="4" w:val="single" w:color="334155"/>
              <w:right w:sz="4" w:val="single" w:color="334155"/>
            </w:tcBorders>
          </w:tcPr>
          <w:p>
            <w:pPr>
              <w:spacing w:before="0" w:after="0"/>
            </w:pPr>
            <w:r>
              <w:rPr>
                <w:rFonts w:ascii="Calibri" w:hAnsi="Calibri"/>
                <w:b/>
                <w:color w:val="FFFFFF"/>
                <w:sz w:val="19"/>
              </w:rPr>
              <w:t>Award</w:t>
            </w:r>
          </w:p>
        </w:tc>
        <w:tc>
          <w:tcPr>
            <w:tcW w:type="dxa" w:w="3168"/>
            <w:vAlign w:val="center"/>
            <w:shd w:fill="0F172A"/>
            <w:tcMar>
              <w:top w:w="120" w:type="dxa"/>
              <w:bottom w:w="120" w:type="dxa"/>
              <w:left w:w="140" w:type="dxa"/>
              <w:right w:w="140" w:type="dxa"/>
            </w:tcMar>
            <w:tcBorders>
              <w:top w:sz="8" w:val="single" w:color="0F172A"/>
              <w:bottom w:sz="12" w:val="single" w:color="10B981"/>
              <w:left w:sz="4" w:val="single" w:color="334155"/>
              <w:right w:sz="4" w:val="single" w:color="334155"/>
            </w:tcBorders>
          </w:tcPr>
          <w:p>
            <w:pPr>
              <w:spacing w:before="0" w:after="0"/>
            </w:pPr>
            <w:r>
              <w:rPr>
                <w:rFonts w:ascii="Calibri" w:hAnsi="Calibri"/>
                <w:b/>
                <w:color w:val="FFFFFF"/>
                <w:sz w:val="19"/>
              </w:rPr>
              <w:t>Integration Depth in DeadNet</w:t>
            </w:r>
          </w:p>
        </w:tc>
        <w:tc>
          <w:tcPr>
            <w:tcW w:type="dxa" w:w="3024"/>
            <w:vAlign w:val="center"/>
            <w:shd w:fill="0F172A"/>
            <w:tcMar>
              <w:top w:w="120" w:type="dxa"/>
              <w:bottom w:w="120" w:type="dxa"/>
              <w:left w:w="140" w:type="dxa"/>
              <w:right w:w="140" w:type="dxa"/>
            </w:tcMar>
            <w:tcBorders>
              <w:top w:sz="8" w:val="single" w:color="0F172A"/>
              <w:bottom w:sz="12" w:val="single" w:color="10B981"/>
              <w:left w:sz="4" w:val="single" w:color="334155"/>
              <w:right w:sz="4" w:val="single" w:color="334155"/>
            </w:tcBorders>
          </w:tcPr>
          <w:p>
            <w:pPr>
              <w:spacing w:before="0" w:after="0"/>
            </w:pPr>
            <w:r>
              <w:rPr>
                <w:rFonts w:ascii="Calibri" w:hAnsi="Calibri"/>
                <w:b/>
                <w:color w:val="FFFFFF"/>
                <w:sz w:val="19"/>
              </w:rPr>
              <w:t>Evidence Shown in DEV Write-Up</w:t>
            </w:r>
          </w:p>
        </w:tc>
      </w:tr>
      <w:tr>
        <w:tc>
          <w:tcPr>
            <w:tcW w:type="dxa" w:w="2016"/>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Overall Winner</w:t>
            </w:r>
          </w:p>
        </w:tc>
        <w:tc>
          <w:tcPr>
            <w:tcW w:type="dxa" w:w="1152"/>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$250 + DEV++</w:t>
            </w:r>
          </w:p>
        </w:tc>
        <w:tc>
          <w:tcPr>
            <w:tcW w:type="dxa" w:w="3168"/>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Directly embodies 'Ghost in the Machine' with both spooky DOM exhumation and Día de los Muertos digital heritage preservation.</w:t>
            </w:r>
          </w:p>
        </w:tc>
        <w:tc>
          <w:tcPr>
            <w:tcW w:type="dxa" w:w="3024"/>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60-second Ectoplasm Slider video + deep essay on why open-weight models prevent API link-rot.</w:t>
            </w:r>
          </w:p>
        </w:tc>
      </w:tr>
      <w:tr>
        <w:tc>
          <w:tcPr>
            <w:tcW w:type="dxa" w:w="2016"/>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Best Use of Gemma (Featured)</w:t>
            </w:r>
          </w:p>
        </w:tc>
        <w:tc>
          <w:tcPr>
            <w:tcW w:type="dxa" w:w="1152"/>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$200</w:t>
            </w:r>
          </w:p>
        </w:tc>
        <w:tc>
          <w:tcPr>
            <w:tcW w:type="dxa" w:w="3168"/>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Gemma 3 powers the 3-pass Necromancy Engine (HTML3.2 Context Healer, CGI-to-JS Reanimator, and 2026 Semantic Transpiler).</w:t>
            </w:r>
          </w:p>
        </w:tc>
        <w:tc>
          <w:tcPr>
            <w:tcW w:type="dxa" w:w="3024"/>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Side-by-side prompt/output comparison showing Gemma 3 beating closed RLHF models on 1998 HTML fidelity.</w:t>
            </w:r>
          </w:p>
        </w:tc>
      </w:tr>
      <w:tr>
        <w:tc>
          <w:tcPr>
            <w:tcW w:type="dxa" w:w="2016"/>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Best Use of DigitalOcean (or Render)</w:t>
            </w:r>
          </w:p>
        </w:tc>
        <w:tc>
          <w:tcPr>
            <w:tcW w:type="dxa" w:w="1152"/>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$200</w:t>
            </w:r>
          </w:p>
        </w:tc>
        <w:tc>
          <w:tcPr>
            <w:tcW w:type="dxa" w:w="3168"/>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Hosts the open-weight Gemma inference endpoint on a DigitalOcean GPU Droplet and deploys the Next.js + Temporal worker runtime.</w:t>
            </w:r>
          </w:p>
        </w:tc>
        <w:tc>
          <w:tcPr>
            <w:tcW w:type="dxa" w:w="3024"/>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Architecture deployment diagram + live public demo URL hosted on cloud infrastructure.</w:t>
            </w:r>
          </w:p>
        </w:tc>
      </w:tr>
      <w:tr>
        <w:tc>
          <w:tcPr>
            <w:tcW w:type="dxa" w:w="2016"/>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Best Use of Browserbase</w:t>
            </w:r>
          </w:p>
        </w:tc>
        <w:tc>
          <w:tcPr>
            <w:tcW w:type="dxa" w:w="1152"/>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$100</w:t>
            </w:r>
          </w:p>
        </w:tc>
        <w:tc>
          <w:tcPr>
            <w:tcW w:type="dxa" w:w="3168"/>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Uses Browserbase + Stagehand SDK (observe/extract) to load broken archival DOMs, detect dead nodes, and capture before/after screenshots.</w:t>
            </w:r>
          </w:p>
        </w:tc>
        <w:tc>
          <w:tcPr>
            <w:tcW w:type="dxa" w:w="3024"/>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Embedded Browserbase session replay clip + code walkthrough of the DeadDomManifestSchema.</w:t>
            </w:r>
          </w:p>
        </w:tc>
      </w:tr>
      <w:tr>
        <w:tc>
          <w:tcPr>
            <w:tcW w:type="dxa" w:w="2016"/>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Best Use of Temporal</w:t>
            </w:r>
          </w:p>
        </w:tc>
        <w:tc>
          <w:tcPr>
            <w:tcW w:type="dxa" w:w="1152"/>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$100</w:t>
            </w:r>
          </w:p>
        </w:tc>
        <w:tc>
          <w:tcPr>
            <w:tcW w:type="dxa" w:w="3168"/>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Wraps CDX lookup, Browserbase crawl, SerpApi enrichment, and Gemma synthesis in a durable workflow that survives archive 429 timeouts.</w:t>
            </w:r>
          </w:p>
        </w:tc>
        <w:tc>
          <w:tcPr>
            <w:tcW w:type="dxa" w:w="3024"/>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Screenshot of Temporal Web UI showing activity retries succeeding after simulated archive failures.</w:t>
            </w:r>
          </w:p>
        </w:tc>
      </w:tr>
      <w:tr>
        <w:tc>
          <w:tcPr>
            <w:tcW w:type="dxa" w:w="2016"/>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Best Use of SerpApi</w:t>
            </w:r>
          </w:p>
        </w:tc>
        <w:tc>
          <w:tcPr>
            <w:tcW w:type="dxa" w:w="1152"/>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$100</w:t>
            </w:r>
          </w:p>
        </w:tc>
        <w:tc>
          <w:tcPr>
            <w:tcW w:type="dxa" w:w="3168"/>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Searches historical forum archives, Reddit threads, and web indices to ground missing subpages in factual historical context.</w:t>
            </w:r>
          </w:p>
        </w:tc>
        <w:tc>
          <w:tcPr>
            <w:tcW w:type="dxa" w:w="3024"/>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Visual example of a dead 1999 link healed using real facts pulled from a SerpApi query.</w:t>
            </w:r>
          </w:p>
        </w:tc>
      </w:tr>
      <w:tr>
        <w:tc>
          <w:tcPr>
            <w:tcW w:type="dxa" w:w="2016"/>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Best Use of Sentry Agent Tracing</w:t>
            </w:r>
          </w:p>
        </w:tc>
        <w:tc>
          <w:tcPr>
            <w:tcW w:type="dxa" w:w="1152"/>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$100</w:t>
            </w:r>
          </w:p>
        </w:tc>
        <w:tc>
          <w:tcPr>
            <w:tcW w:type="dxa" w:w="3168"/>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Instruments Gemma LLM passes and Stagehand calls with Sentry AI Agent spans tracking latency, token throughput, and error rates.</w:t>
            </w:r>
          </w:p>
        </w:tc>
        <w:tc>
          <w:tcPr>
            <w:tcW w:type="dxa" w:w="3024"/>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High-resolution screenshot of Sentry Agent Tracing waterfall embedded in the performance section.</w:t>
            </w:r>
          </w:p>
        </w:tc>
      </w:tr>
      <w:tr>
        <w:tc>
          <w:tcPr>
            <w:tcW w:type="dxa" w:w="2016"/>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Best Use of a .tech Domain</w:t>
            </w:r>
          </w:p>
        </w:tc>
        <w:tc>
          <w:tcPr>
            <w:tcW w:type="dxa" w:w="1152"/>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$100</w:t>
            </w:r>
          </w:p>
        </w:tc>
        <w:tc>
          <w:tcPr>
            <w:tcW w:type="dxa" w:w="3168"/>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Deploys the live interactive DeadNet Ectoplasm Browser on a custom .tech domain claimed via Hacktoberfest promos.</w:t>
            </w:r>
          </w:p>
        </w:tc>
        <w:tc>
          <w:tcPr>
            <w:tcW w:type="dxa" w:w="3024"/>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Live clickable link (e.g., deadnet-browser.tech) featured at the top of the DEV submission.</w:t>
            </w:r>
          </w:p>
        </w:tc>
      </w:tr>
    </w:tbl>
    <w:p>
      <w:pPr>
        <w:keepNext/>
        <w:spacing w:before="360" w:after="160"/>
        <w:pBdr>
          <w:bottom w:val="single" w:sz="12" w:space="4" w:color="059669"/>
        </w:pBdr>
      </w:pPr>
      <w:r>
        <w:rPr>
          <w:rFonts w:ascii="Calibri" w:hAnsi="Calibri"/>
          <w:b/>
          <w:color w:val="0F172A"/>
          <w:sz w:val="31"/>
        </w:rPr>
        <w:t>7. Rapid 4-Day Execution Roadmap (Oct 27 – Oct 31, 2026)</w:t>
      </w:r>
    </w:p>
    <w:p>
      <w:pPr>
        <w:spacing w:before="0" w:after="120" w:line="283" w:lineRule="auto"/>
      </w:pPr>
      <w:r>
        <w:rPr>
          <w:rFonts w:ascii="Calibri" w:hAnsi="Calibri"/>
          <w:color w:val="334155"/>
          <w:sz w:val="21"/>
        </w:rPr>
        <w:t>With submissions closing on October 31 at 11:59 PM PDT, the engineering schedule is structured to guarantee a working visual core by Day 2 and leave ample time on Day 4 for the heavily weighted DEV write-up:</w:t>
      </w:r>
    </w:p>
    <w:tbl>
      <w:tblPr>
        <w:tblW w:type="auto" w:w="0"/>
        <w:jc w:val="center"/>
        <w:tblLayout w:type="fixed"/>
        <w:tblLook w:firstColumn="1" w:firstRow="1" w:lastColumn="0" w:lastRow="0" w:noHBand="0" w:noVBand="1" w:val="04A0"/>
      </w:tblPr>
      <w:tblGrid>
        <w:gridCol w:w="3168"/>
        <w:gridCol w:w="3168"/>
        <w:gridCol w:w="3168"/>
      </w:tblGrid>
      <w:tr>
        <w:tc>
          <w:tcPr>
            <w:tcW w:type="dxa" w:w="1872"/>
            <w:vAlign w:val="center"/>
            <w:shd w:fill="0F172A"/>
            <w:tcMar>
              <w:top w:w="120" w:type="dxa"/>
              <w:bottom w:w="120" w:type="dxa"/>
              <w:left w:w="140" w:type="dxa"/>
              <w:right w:w="140" w:type="dxa"/>
            </w:tcMar>
            <w:tcBorders>
              <w:top w:sz="8" w:val="single" w:color="0F172A"/>
              <w:bottom w:sz="12" w:val="single" w:color="10B981"/>
              <w:left w:sz="4" w:val="single" w:color="334155"/>
              <w:right w:sz="4" w:val="single" w:color="334155"/>
            </w:tcBorders>
          </w:tcPr>
          <w:p>
            <w:pPr>
              <w:spacing w:before="0" w:after="0"/>
            </w:pPr>
            <w:r>
              <w:rPr>
                <w:rFonts w:ascii="Calibri" w:hAnsi="Calibri"/>
                <w:b/>
                <w:color w:val="FFFFFF"/>
                <w:sz w:val="19"/>
              </w:rPr>
              <w:t>Day &amp; Date</w:t>
            </w:r>
          </w:p>
        </w:tc>
        <w:tc>
          <w:tcPr>
            <w:tcW w:type="dxa" w:w="3888"/>
            <w:vAlign w:val="center"/>
            <w:shd w:fill="0F172A"/>
            <w:tcMar>
              <w:top w:w="120" w:type="dxa"/>
              <w:bottom w:w="120" w:type="dxa"/>
              <w:left w:w="140" w:type="dxa"/>
              <w:right w:w="140" w:type="dxa"/>
            </w:tcMar>
            <w:tcBorders>
              <w:top w:sz="8" w:val="single" w:color="0F172A"/>
              <w:bottom w:sz="12" w:val="single" w:color="10B981"/>
              <w:left w:sz="4" w:val="single" w:color="334155"/>
              <w:right w:sz="4" w:val="single" w:color="334155"/>
            </w:tcBorders>
          </w:tcPr>
          <w:p>
            <w:pPr>
              <w:spacing w:before="0" w:after="0"/>
            </w:pPr>
            <w:r>
              <w:rPr>
                <w:rFonts w:ascii="Calibri" w:hAnsi="Calibri"/>
                <w:b/>
                <w:color w:val="FFFFFF"/>
                <w:sz w:val="19"/>
              </w:rPr>
              <w:t>Engineering Milestones</w:t>
            </w:r>
          </w:p>
        </w:tc>
        <w:tc>
          <w:tcPr>
            <w:tcW w:type="dxa" w:w="3600"/>
            <w:vAlign w:val="center"/>
            <w:shd w:fill="0F172A"/>
            <w:tcMar>
              <w:top w:w="120" w:type="dxa"/>
              <w:bottom w:w="120" w:type="dxa"/>
              <w:left w:w="140" w:type="dxa"/>
              <w:right w:w="140" w:type="dxa"/>
            </w:tcMar>
            <w:tcBorders>
              <w:top w:sz="8" w:val="single" w:color="0F172A"/>
              <w:bottom w:sz="12" w:val="single" w:color="10B981"/>
              <w:left w:sz="4" w:val="single" w:color="334155"/>
              <w:right w:sz="4" w:val="single" w:color="334155"/>
            </w:tcBorders>
          </w:tcPr>
          <w:p>
            <w:pPr>
              <w:spacing w:before="0" w:after="0"/>
            </w:pPr>
            <w:r>
              <w:rPr>
                <w:rFonts w:ascii="Calibri" w:hAnsi="Calibri"/>
                <w:b/>
                <w:color w:val="FFFFFF"/>
                <w:sz w:val="19"/>
              </w:rPr>
              <w:t>Concrete Deliverable &amp; Risk Mitigation</w:t>
            </w:r>
          </w:p>
        </w:tc>
      </w:tr>
      <w:tr>
        <w:tc>
          <w:tcPr>
            <w:tcW w:type="dxa" w:w="1872"/>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Day 1: Oct 27</w:t>
              <w:br/>
              <w:t>Core Exhumation &amp; Gemma Engine</w:t>
            </w:r>
          </w:p>
        </w:tc>
        <w:tc>
          <w:tcPr>
            <w:tcW w:type="dxa" w:w="3888"/>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 Scaffold Next.js 15 app + Ollama local Gemma 3 setup.</w:t>
              <w:br/>
              <w:t>• Implement Wayback CDX fetcher + Stagehand DOM extractor.</w:t>
              <w:br/>
              <w:t>• Test 3-pass Gemma restoration prompt on 3 classic dead URLs.</w:t>
            </w:r>
          </w:p>
        </w:tc>
        <w:tc>
          <w:tcPr>
            <w:tcW w:type="dxa" w:w="3600"/>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Deliverable: CLI script that takes a dead URL and outputs healed 1998 HTML + 2026 JSON.</w:t>
              <w:br/>
              <w:t>Mitigation: Cache raw HTML of 3 preset sites locally in case Archive.org rate-limits.</w:t>
            </w:r>
          </w:p>
        </w:tc>
      </w:tr>
      <w:tr>
        <w:tc>
          <w:tcPr>
            <w:tcW w:type="dxa" w:w="1872"/>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Day 2: Oct 28</w:t>
              <w:br/>
              <w:t>SerpApi + The Ectoplasm Slider UI</w:t>
            </w:r>
          </w:p>
        </w:tc>
        <w:tc>
          <w:tcPr>
            <w:tcW w:type="dxa" w:w="3888"/>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 Integrate SerpApi historical context enrichment.</w:t>
              <w:br/>
              <w:t>• Build the split-screen Exhumation Terminal UI.</w:t>
              <w:br/>
              <w:t>• Build the signature 0%–50%–100% Ectoplasm Slider with CRT shaders and green X-ray provenance tooltips.</w:t>
            </w:r>
          </w:p>
        </w:tc>
        <w:tc>
          <w:tcPr>
            <w:tcW w:type="dxa" w:w="3600"/>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Deliverable: Interactive frontend where dragging the slider smoothly morphs between 1998 CRT, 50% X-Ray, and 2026 UI.</w:t>
            </w:r>
          </w:p>
        </w:tc>
      </w:tr>
      <w:tr>
        <w:tc>
          <w:tcPr>
            <w:tcW w:type="dxa" w:w="1872"/>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Day 3: Oct 29</w:t>
              <w:br/>
              <w:t>Temporal Durability, Sentry &amp; Deployment</w:t>
            </w:r>
          </w:p>
        </w:tc>
        <w:tc>
          <w:tcPr>
            <w:tcW w:type="dxa" w:w="3888"/>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 Wrap the 4 pipeline steps into Temporal Activities.</w:t>
              <w:br/>
              <w:t>• Add Sentry Agent Tracing instrumentation and trigger test traces.</w:t>
              <w:br/>
              <w:t>• Deploy to DigitalOcean / Render and bind custom .tech domain.</w:t>
            </w:r>
          </w:p>
        </w:tc>
        <w:tc>
          <w:tcPr>
            <w:tcW w:type="dxa" w:w="3600"/>
            <w:vAlign w:val="center"/>
            <w:shd w:fill="F8FAFC"/>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Deliverable: Production deployment live on custom .tech domain + captured Temporal &amp; Sentry dashboard screenshots.</w:t>
            </w:r>
          </w:p>
        </w:tc>
      </w:tr>
      <w:tr>
        <w:tc>
          <w:tcPr>
            <w:tcW w:type="dxa" w:w="1872"/>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Day 4: Oct 30–31</w:t>
              <w:br/>
              <w:t>Demo Video &amp; Winning DEV Article</w:t>
            </w:r>
          </w:p>
        </w:tc>
        <w:tc>
          <w:tcPr>
            <w:tcW w:type="dxa" w:w="3888"/>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 Record a tight, high-impact 60-second demo video.</w:t>
              <w:br/>
              <w:t>• Export agent build session via DevRelay / Entire.</w:t>
              <w:br/>
              <w:t>• Draft, polish, and publish the DEV submission post before Oct 31 evening.</w:t>
            </w:r>
          </w:p>
        </w:tc>
        <w:tc>
          <w:tcPr>
            <w:tcW w:type="dxa" w:w="3600"/>
            <w:vAlign w:val="center"/>
            <w:shd w:fill="FFFFFF"/>
            <w:tcMar>
              <w:top w:w="100" w:type="dxa"/>
              <w:bottom w:w="100" w:type="dxa"/>
              <w:left w:w="140" w:type="dxa"/>
              <w:right w:w="140" w:type="dxa"/>
            </w:tcMar>
            <w:tcBorders>
              <w:top w:sz="4" w:val="single" w:color="E2E8F0"/>
              <w:bottom w:sz="4" w:val="single" w:color="E2E8F0"/>
              <w:left w:sz="4" w:val="single" w:color="E2E8F0"/>
              <w:right w:sz="4" w:val="single" w:color="E2E8F0"/>
            </w:tcBorders>
          </w:tcPr>
          <w:p>
            <w:pPr>
              <w:spacing w:before="0" w:after="40" w:line="276" w:lineRule="auto"/>
            </w:pPr>
            <w:r>
              <w:rPr>
                <w:rFonts w:ascii="Calibri" w:hAnsi="Calibri"/>
                <w:color w:val="1E293B"/>
                <w:sz w:val="19"/>
              </w:rPr>
              <w:t>Deliverable: Published DEV post with #devchallenge and #hf26challenge tags + verified public GitHub repository.</w:t>
            </w:r>
          </w:p>
        </w:tc>
      </w:tr>
    </w:tbl>
    <w:p>
      <w:pPr>
        <w:keepNext/>
        <w:spacing w:before="360" w:after="160"/>
        <w:pBdr>
          <w:bottom w:val="single" w:sz="12" w:space="4" w:color="059669"/>
        </w:pBdr>
      </w:pPr>
      <w:r>
        <w:rPr>
          <w:rFonts w:ascii="Calibri" w:hAnsi="Calibri"/>
          <w:b/>
          <w:color w:val="0F172A"/>
          <w:sz w:val="31"/>
        </w:rPr>
        <w:t>8. Winning DEV Write-Up Blueprint &amp; Judging Optimization</w:t>
      </w:r>
    </w:p>
    <w:p>
      <w:pPr>
        <w:spacing w:before="0" w:after="120" w:line="283" w:lineRule="auto"/>
      </w:pPr>
      <w:r>
        <w:rPr>
          <w:rFonts w:ascii="Calibri" w:hAnsi="Calibri"/>
          <w:color w:val="334155"/>
          <w:sz w:val="21"/>
        </w:rPr>
        <w:t>The official Hacktoberfest FAQ explicitly states: "This is DEV, so your write-up matters most. A great project with a thin write-up won't win. We judge on Writing Quality (weighted most heavily)..." To dominate the rubric, the DEV article will follow a narrative-driven structure:</w:t>
      </w:r>
    </w:p>
    <w:p>
      <w:pPr>
        <w:pStyle w:val="ListBullet"/>
        <w:spacing w:before="0" w:after="80" w:line="276" w:lineRule="auto"/>
      </w:pPr>
      <w:r>
        <w:rPr>
          <w:rFonts w:ascii="Calibri" w:hAnsi="Calibri"/>
          <w:b/>
          <w:color w:val="0F172A"/>
          <w:sz w:val="21"/>
        </w:rPr>
        <w:t xml:space="preserve">1. The Emotional Hook (The Day the Early Web Died): </w:t>
      </w:r>
      <w:r>
        <w:rPr>
          <w:rFonts w:ascii="Calibri" w:hAnsi="Calibri"/>
          <w:color w:val="334155"/>
          <w:sz w:val="21"/>
        </w:rPr>
        <w:t>Open with a vivid story of discovering a beloved 1999 fan shrine or open-source tutorial reduced to broken image icons and 404 errors—and how Día de los Muertos inspired building a digital ofrenda for forgotten webmasters.</w:t>
      </w:r>
    </w:p>
    <w:p>
      <w:pPr>
        <w:pStyle w:val="ListBullet"/>
        <w:spacing w:before="0" w:after="80" w:line="276" w:lineRule="auto"/>
      </w:pPr>
      <w:r>
        <w:rPr>
          <w:rFonts w:ascii="Calibri" w:hAnsi="Calibri"/>
          <w:b/>
          <w:color w:val="0F172A"/>
          <w:sz w:val="21"/>
        </w:rPr>
        <w:t xml:space="preserve">2. The 15-Second Visual Payoff: </w:t>
      </w:r>
      <w:r>
        <w:rPr>
          <w:rFonts w:ascii="Calibri" w:hAnsi="Calibri"/>
          <w:color w:val="334155"/>
          <w:sz w:val="21"/>
        </w:rPr>
        <w:t>Place an high-framerate GIF right below the intro showing the Ectoplasm Slider scrubbing live between 1998 CRT Mode, 50% Glowing X-Ray Provenance Mode, and 2026 Modern UI.</w:t>
      </w:r>
    </w:p>
    <w:p>
      <w:pPr>
        <w:pStyle w:val="ListBullet"/>
        <w:spacing w:before="0" w:after="80" w:line="276" w:lineRule="auto"/>
      </w:pPr>
      <w:r>
        <w:rPr>
          <w:rFonts w:ascii="Calibri" w:hAnsi="Calibri"/>
          <w:b/>
          <w:color w:val="0F172A"/>
          <w:sz w:val="21"/>
        </w:rPr>
        <w:t xml:space="preserve">3. Deep Dive: Why Open-Source AI Mattered Here: </w:t>
      </w:r>
      <w:r>
        <w:rPr>
          <w:rFonts w:ascii="Calibri" w:hAnsi="Calibri"/>
          <w:color w:val="334155"/>
          <w:sz w:val="21"/>
        </w:rPr>
        <w:t>Present a concrete benchmark table and side-by-side HTML diff comparing Gemma 3 against a closed commercial API—demonstrating how closed RLHF models strip out authentic 1998 HTML 3.2 personality, and explaining why a preservation tool cannot depend on proprietary cloud endpoints that deprecate every year.</w:t>
      </w:r>
    </w:p>
    <w:p>
      <w:pPr>
        <w:pStyle w:val="ListBullet"/>
        <w:spacing w:before="0" w:after="80" w:line="276" w:lineRule="auto"/>
      </w:pPr>
      <w:r>
        <w:rPr>
          <w:rFonts w:ascii="Calibri" w:hAnsi="Calibri"/>
          <w:b/>
          <w:color w:val="0F172A"/>
          <w:sz w:val="21"/>
        </w:rPr>
        <w:t xml:space="preserve">4. Under the Hood (Architecture &amp; Partner Stack Proof): </w:t>
      </w:r>
      <w:r>
        <w:rPr>
          <w:rFonts w:ascii="Calibri" w:hAnsi="Calibri"/>
          <w:color w:val="334155"/>
          <w:sz w:val="21"/>
        </w:rPr>
        <w:t>Include clean subsections with real code snippets and telemetry screenshots for Stagehand + Browserbase, Temporal retry workflows, SerpApi historical grounding, and Sentry Agent Tracing spans (showing exact token counts and latency per DOM patch).</w:t>
      </w:r>
    </w:p>
    <w:p>
      <w:pPr>
        <w:pStyle w:val="ListBullet"/>
        <w:spacing w:before="0" w:after="80" w:line="276" w:lineRule="auto"/>
      </w:pPr>
      <w:r>
        <w:rPr>
          <w:rFonts w:ascii="Calibri" w:hAnsi="Calibri"/>
          <w:b/>
          <w:color w:val="0F172A"/>
          <w:sz w:val="21"/>
        </w:rPr>
        <w:t xml:space="preserve">5. Interactive Live Demo &amp; Reproducible Local Setup: </w:t>
      </w:r>
      <w:r>
        <w:rPr>
          <w:rFonts w:ascii="Calibri" w:hAnsi="Calibri"/>
          <w:color w:val="334155"/>
          <w:sz w:val="21"/>
        </w:rPr>
        <w:t>Provide the one-click .tech live demo pre-loaded with 3 haunted websites, alongside a single docker-compose up command that spins up Ollama + Gemma 3 + Temporal + DeadNet locally with zero cloud keys required.</w:t>
      </w:r>
    </w:p>
    <w:tbl>
      <w:tblPr>
        <w:tblW w:type="auto" w:w="0"/>
        <w:jc w:val="center"/>
        <w:tblLayout w:type="fixed"/>
        <w:tblLook w:firstColumn="1" w:firstRow="1" w:lastColumn="0" w:lastRow="0" w:noHBand="0" w:noVBand="1" w:val="04A0"/>
      </w:tblPr>
      <w:tblGrid>
        <w:gridCol w:w="9360"/>
      </w:tblGrid>
      <w:tr>
        <w:tc>
          <w:tcPr>
            <w:tcW w:type="dxa" w:w="9360"/>
            <w:shd w:fill="ECFDF5"/>
            <w:tcMar>
              <w:top w:w="160" w:type="dxa"/>
              <w:bottom w:w="160" w:type="dxa"/>
              <w:left w:w="220" w:type="dxa"/>
              <w:right w:w="200" w:type="dxa"/>
            </w:tcMar>
            <w:tcBorders>
              <w:left w:sz="24" w:val="single" w:color="059669"/>
              <w:top w:sz="4" w:val="single" w:color="D1FAE5"/>
              <w:bottom w:sz="4" w:val="single" w:color="D1FAE5"/>
              <w:right w:sz="4" w:val="single" w:color="D1FAE5"/>
            </w:tcBorders>
          </w:tcPr>
          <w:p>
            <w:pPr>
              <w:spacing w:before="0" w:after="80"/>
            </w:pPr>
            <w:r>
              <w:rPr>
                <w:rFonts w:ascii="Calibri" w:hAnsi="Calibri"/>
                <w:b/>
                <w:color w:val="065F46"/>
                <w:sz w:val="22"/>
              </w:rPr>
              <w:t>FINAL SUBMISSION CHECKLIST BEFORE OCTOBER 31, 11:59 PM PDT</w:t>
            </w:r>
          </w:p>
          <w:p>
            <w:pPr>
              <w:spacing w:before="40" w:after="40" w:line="276" w:lineRule="auto"/>
            </w:pPr>
            <w:r>
              <w:rPr>
                <w:rFonts w:ascii="Calibri" w:hAnsi="Calibri"/>
                <w:color w:val="1F2937"/>
                <w:sz w:val="20"/>
              </w:rPr>
              <w:t>[✓] Repository initialized and all commits made strictly within the Oct 26 – Oct 31 challenge window.</w:t>
            </w:r>
          </w:p>
          <w:p>
            <w:pPr>
              <w:spacing w:before="40" w:after="40" w:line="276" w:lineRule="auto"/>
            </w:pPr>
            <w:r>
              <w:rPr>
                <w:rFonts w:ascii="Calibri" w:hAnsi="Calibri"/>
                <w:color w:val="1F2937"/>
                <w:sz w:val="20"/>
              </w:rPr>
              <w:t>[✓] Official DEV submission template tags applied (#devchallenge, #hf26challenge).</w:t>
            </w:r>
          </w:p>
          <w:p>
            <w:pPr>
              <w:spacing w:before="40" w:after="40" w:line="276" w:lineRule="auto"/>
            </w:pPr>
            <w:r>
              <w:rPr>
                <w:rFonts w:ascii="Calibri" w:hAnsi="Calibri"/>
                <w:color w:val="1F2937"/>
                <w:sz w:val="20"/>
              </w:rPr>
              <w:t>[✓] All 7 opted-in Partner Categories explicitly listed in the 'Prize Categories' section of the post.</w:t>
            </w:r>
          </w:p>
          <w:p>
            <w:pPr>
              <w:spacing w:before="40" w:after="0" w:line="276" w:lineRule="auto"/>
            </w:pPr>
            <w:r>
              <w:rPr>
                <w:rFonts w:ascii="Calibri" w:hAnsi="Calibri"/>
                <w:color w:val="1F2937"/>
                <w:sz w:val="20"/>
              </w:rPr>
              <w:t>[✓] Live .tech domain link, 60-second video embed, Sentry trace screenshots, and DevRelay session included.</w:t>
            </w:r>
          </w:p>
        </w:tc>
      </w:tr>
    </w:tbl>
    <w:p>
      <w:pPr>
        <w:spacing w:before="0" w:after="120"/>
      </w:pPr>
    </w:p>
    <w:sectPr w:rsidR="00FC693F" w:rsidRPr="0006063C" w:rsidSect="00034616">
      <w:headerReference w:type="default" r:id="rId9"/>
      <w:footerReference w:type="default" r:id="rId10"/>
      <w:pgSz w:w="12240" w:h="15840"/>
      <w:pgMar w:top="1224" w:right="1368" w:bottom="1224"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Theme: Ghost in the Machine  •  Open-Source AI Digital Archaeology Engine  •  Confidential &amp; Competition Ready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DEADNET ECTOPLASM BROWSER  |  HACKTOBERFEST 2026 WEEK 4 TECHNICAL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