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5F057" w14:textId="77777777" w:rsidR="00864086" w:rsidRPr="00511E69" w:rsidRDefault="00864086" w:rsidP="00511E69">
      <w:pPr>
        <w:rPr>
          <w:rFonts w:ascii="Arial" w:hAnsi="Arial" w:cs="Arial"/>
          <w:sz w:val="6"/>
          <w:szCs w:val="6"/>
        </w:rPr>
      </w:pPr>
    </w:p>
    <w:tbl>
      <w:tblPr>
        <w:tblStyle w:val="Tablaconcuadrcula"/>
        <w:tblpPr w:leftFromText="141" w:rightFromText="141" w:vertAnchor="text" w:horzAnchor="margin" w:tblpY="15"/>
        <w:tblW w:w="0" w:type="auto"/>
        <w:tblBorders>
          <w:top w:val="dotDash" w:sz="4" w:space="0" w:color="701445"/>
          <w:left w:val="dotDash" w:sz="4" w:space="0" w:color="701445"/>
          <w:bottom w:val="dotDash" w:sz="4" w:space="0" w:color="701445"/>
          <w:right w:val="dotDash" w:sz="4" w:space="0" w:color="701445"/>
          <w:insideH w:val="dotDash" w:sz="4" w:space="0" w:color="701445"/>
          <w:insideV w:val="dotDash" w:sz="4" w:space="0" w:color="701445"/>
        </w:tblBorders>
        <w:tblLook w:val="04A0" w:firstRow="1" w:lastRow="0" w:firstColumn="1" w:lastColumn="0" w:noHBand="0" w:noVBand="1"/>
      </w:tblPr>
      <w:tblGrid>
        <w:gridCol w:w="7650"/>
        <w:gridCol w:w="1838"/>
      </w:tblGrid>
      <w:tr w:rsidR="00A777D3" w14:paraId="75EDBD57" w14:textId="77777777" w:rsidTr="009A5649">
        <w:tc>
          <w:tcPr>
            <w:tcW w:w="7650" w:type="dxa"/>
          </w:tcPr>
          <w:p w14:paraId="4E1C700A" w14:textId="45A0A1C9" w:rsidR="00A777D3" w:rsidRPr="00622ADC" w:rsidRDefault="00622ADC" w:rsidP="00511E69">
            <w:pPr>
              <w:rPr>
                <w:rFonts w:ascii="Arial" w:hAnsi="Arial" w:cs="Arial"/>
                <w:b/>
                <w:color w:val="701445"/>
                <w:sz w:val="22"/>
                <w:szCs w:val="22"/>
              </w:rPr>
            </w:pPr>
            <w:r>
              <w:rPr>
                <w:rFonts w:ascii="Arial" w:hAnsi="Arial" w:cs="Arial"/>
                <w:b/>
                <w:color w:val="701445"/>
                <w:sz w:val="22"/>
                <w:szCs w:val="22"/>
              </w:rPr>
              <w:t>Encuentro de Jóvenes Investigadores del Estado de Michoacán</w:t>
            </w:r>
          </w:p>
        </w:tc>
        <w:tc>
          <w:tcPr>
            <w:tcW w:w="1838" w:type="dxa"/>
          </w:tcPr>
          <w:p w14:paraId="34031948" w14:textId="6934C904" w:rsidR="00A777D3" w:rsidRPr="00622ADC" w:rsidRDefault="00A777D3" w:rsidP="00511E69">
            <w:pPr>
              <w:jc w:val="right"/>
              <w:rPr>
                <w:rFonts w:ascii="Arial" w:hAnsi="Arial" w:cs="Arial"/>
                <w:b/>
                <w:color w:val="701445"/>
                <w:sz w:val="22"/>
                <w:szCs w:val="22"/>
              </w:rPr>
            </w:pPr>
            <w:r>
              <w:rPr>
                <w:rFonts w:ascii="Arial" w:hAnsi="Arial" w:cs="Arial"/>
                <w:b/>
                <w:color w:val="701445"/>
                <w:sz w:val="22"/>
                <w:szCs w:val="22"/>
              </w:rPr>
              <w:t>Octubre, 2026</w:t>
            </w:r>
          </w:p>
        </w:tc>
      </w:tr>
      <w:tr w:rsidR="00A777D3" w14:paraId="09D03C58" w14:textId="77777777" w:rsidTr="009A5649">
        <w:tc>
          <w:tcPr>
            <w:tcW w:w="7650" w:type="dxa"/>
          </w:tcPr>
          <w:p w14:paraId="3C8598CF" w14:textId="6A9BD51E" w:rsidR="00A777D3" w:rsidRPr="00622ADC" w:rsidRDefault="00622ADC" w:rsidP="00511E69">
            <w:pPr>
              <w:rPr>
                <w:rFonts w:ascii="Arial" w:hAnsi="Arial" w:cs="Arial"/>
                <w:b/>
                <w:color w:val="701445"/>
                <w:sz w:val="22"/>
                <w:szCs w:val="22"/>
              </w:rPr>
            </w:pPr>
            <w:r>
              <w:rPr>
                <w:rFonts w:ascii="Arial" w:hAnsi="Arial" w:cs="Arial"/>
                <w:b/>
                <w:color w:val="701445"/>
                <w:sz w:val="22"/>
                <w:szCs w:val="22"/>
              </w:rPr>
              <w:t>Área:</w:t>
            </w:r>
            <w:r>
              <w:rPr>
                <w:rFonts w:ascii="Arial" w:hAnsi="Arial" w:cs="Arial"/>
                <w:bCs/>
                <w:color w:val="000000" w:themeColor="text1"/>
                <w:sz w:val="22"/>
                <w:szCs w:val="22"/>
              </w:rPr>
              <w:t xml:space="preserve"> Ciencias Médicas, Biomedicina y Salud.</w:t>
            </w:r>
          </w:p>
        </w:tc>
        <w:tc>
          <w:tcPr>
            <w:tcW w:w="1838" w:type="dxa"/>
          </w:tcPr>
          <w:p w14:paraId="6C440DBF" w14:textId="3F1A0305" w:rsidR="00A777D3" w:rsidRPr="00622ADC" w:rsidRDefault="00864086" w:rsidP="00511E69">
            <w:pPr>
              <w:jc w:val="right"/>
              <w:rPr>
                <w:rFonts w:ascii="Arial" w:hAnsi="Arial" w:cs="Arial"/>
                <w:bCs/>
                <w:sz w:val="22"/>
                <w:szCs w:val="22"/>
              </w:rPr>
            </w:pPr>
            <w:r>
              <w:rPr>
                <w:rFonts w:ascii="Arial" w:hAnsi="Arial" w:cs="Arial"/>
                <w:b/>
                <w:color w:val="701445"/>
                <w:sz w:val="22"/>
                <w:szCs w:val="22"/>
              </w:rPr>
              <w:t xml:space="preserve">ID: EN0526118</w:t>
            </w:r>
          </w:p>
        </w:tc>
      </w:tr>
    </w:tbl>
    <w:p w14:paraId="57E41424" w14:textId="77777777" w:rsidR="00201E88" w:rsidRPr="00201E88" w:rsidRDefault="00201E88" w:rsidP="00511E69">
      <w:pPr>
        <w:rPr>
          <w:rFonts w:ascii="Arial" w:hAnsi="Arial" w:cs="Arial"/>
          <w:bCs/>
        </w:rPr>
      </w:pPr>
    </w:p>
    <w:p w14:paraId="4D96768F" w14:textId="223647AC" w:rsidR="00324FA3" w:rsidRPr="009A5649" w:rsidRDefault="00324FA3" w:rsidP="00511E69">
      <w:pPr>
        <w:jc w:val="center"/>
        <w:rPr>
          <w:rFonts w:ascii="Arial" w:hAnsi="Arial" w:cs="Arial"/>
          <w:b/>
          <w:i/>
          <w:iCs/>
          <w:color w:val="701445"/>
          <w:sz w:val="21"/>
          <w:szCs w:val="21"/>
        </w:rPr>
      </w:pPr>
      <w:r>
        <w:rPr>
          <w:rFonts w:ascii="Arial" w:hAnsi="Arial" w:cs="Arial"/>
          <w:b/>
          <w:color w:val="701445"/>
          <w:sz w:val="30"/>
          <w:szCs w:val="30"/>
        </w:rPr>
        <w:t xml:space="preserve">HepatoIA: regresión logística multinomial para la clasificación no invasiva de la severidad de la esteatosis hepática a partir de datos clínicos</w:t>
      </w:r>
    </w:p>
    <w:p w14:paraId="204F1CF3" w14:textId="77777777" w:rsidR="00324FA3" w:rsidRPr="00201E88" w:rsidRDefault="00324FA3" w:rsidP="00511E69">
      <w:pPr>
        <w:jc w:val="center"/>
        <w:rPr>
          <w:rFonts w:ascii="Arial" w:hAnsi="Arial" w:cs="Arial"/>
          <w:sz w:val="16"/>
          <w:szCs w:val="16"/>
        </w:rPr>
      </w:pPr>
    </w:p>
    <w:p w14:paraId="16165751" w14:textId="451C9CD1" w:rsidR="00324FA3" w:rsidRPr="00042160" w:rsidRDefault="00324FA3" w:rsidP="00511E69">
      <w:pPr>
        <w:jc w:val="center"/>
        <w:rPr>
          <w:rFonts w:ascii="Arial" w:hAnsi="Arial" w:cs="Arial"/>
          <w:b/>
          <w:bCs/>
          <w:i/>
          <w:sz w:val="20"/>
          <w:szCs w:val="20"/>
        </w:rPr>
      </w:pPr>
      <w:r>
        <w:rPr>
          <w:rFonts w:ascii="Arial" w:hAnsi="Arial" w:cs="Arial"/>
          <w:b/>
          <w:bCs/>
          <w:i/>
          <w:sz w:val="20"/>
          <w:szCs w:val="20"/>
        </w:rPr>
        <w:t>[Nombre completo del autor]</w:t>
      </w:r>
      <w:r>
        <w:rPr>
          <w:rFonts w:ascii="Arial" w:hAnsi="Arial" w:cs="Arial"/>
          <w:b/>
          <w:bCs/>
          <w:i/>
          <w:sz w:val="20"/>
          <w:szCs w:val="20"/>
          <w:vertAlign w:val="superscript"/>
        </w:rPr>
        <w:t>1</w:t>
      </w:r>
      <w:r>
        <w:rPr>
          <w:rFonts w:ascii="Arial" w:hAnsi="Arial" w:cs="Arial"/>
          <w:b/>
          <w:bCs/>
          <w:i/>
          <w:sz w:val="20"/>
          <w:szCs w:val="20"/>
        </w:rPr>
        <w:t xml:space="preserve"/>
      </w:r>
      <w:r>
        <w:rPr>
          <w:rFonts w:ascii="Arial" w:hAnsi="Arial" w:cs="Arial"/>
          <w:b/>
          <w:bCs/>
          <w:i/>
          <w:sz w:val="20"/>
          <w:szCs w:val="20"/>
          <w:vertAlign w:val="superscript"/>
        </w:rPr>
        <w:t xml:space="preserve"> 2</w:t>
      </w:r>
    </w:p>
    <w:p w14:paraId="45F0FD69" w14:textId="7A2D763E" w:rsidR="00201E88" w:rsidRPr="00F0133F" w:rsidRDefault="00201E88" w:rsidP="00511E69">
      <w:pPr>
        <w:jc w:val="center"/>
        <w:rPr>
          <w:rFonts w:ascii="Helvetica" w:hAnsi="Helvetica" w:cs="Arial"/>
          <w:i/>
          <w:sz w:val="14"/>
          <w:szCs w:val="14"/>
        </w:rPr>
      </w:pPr>
      <w:r>
        <w:rPr>
          <w:rFonts w:ascii="Helvetica" w:hAnsi="Helvetica" w:cs="Arial"/>
          <w:i/>
          <w:sz w:val="14"/>
          <w:szCs w:val="14"/>
          <w:vertAlign w:val="superscript"/>
        </w:rPr>
        <w:t>1</w:t>
      </w:r>
      <w:r>
        <w:rPr>
          <w:rFonts w:ascii="Helvetica" w:hAnsi="Helvetica" w:cs="Arial"/>
          <w:i/>
          <w:sz w:val="14"/>
          <w:szCs w:val="14"/>
        </w:rPr>
        <w:t xml:space="preserve">[Institución, dependencia, ciudad, estado, código postal, país]. </w:t>
      </w:r>
      <w:r>
        <w:fldChar w:fldCharType="begin"/>
        <w:instrText>HYPERLINK "mailto:[correo@institucion.mx]"</w:instrText>
        <w:fldChar w:fldCharType="separate"/>
      </w:r>
      <w:r>
        <w:rPr>
          <w:rStyle w:val="Hipervnculo"/>
          <w:rFonts w:ascii="Helvetica" w:hAnsi="Helvetica" w:cs="Arial"/>
          <w:i/>
          <w:sz w:val="14"/>
          <w:szCs w:val="14"/>
        </w:rPr>
        <w:t>[correo@institucion.mx]</w:t>
        <w:fldChar w:fldCharType="end"/>
      </w:r>
    </w:p>
    <w:p w14:paraId="642A86E2" w14:textId="2AD0AAF8" w:rsidR="00201E88" w:rsidRPr="00F0133F" w:rsidRDefault="00201E88" w:rsidP="00511E69">
      <w:pPr>
        <w:jc w:val="center"/>
        <w:rPr>
          <w:rFonts w:ascii="Helvetica" w:hAnsi="Helvetica" w:cs="Arial"/>
          <w:i/>
          <w:sz w:val="14"/>
          <w:szCs w:val="14"/>
        </w:rPr>
      </w:pPr>
      <w:r>
        <w:rPr>
          <w:rFonts w:ascii="Helvetica" w:hAnsi="Helvetica" w:cs="Arial"/>
          <w:i/>
          <w:sz w:val="14"/>
          <w:szCs w:val="14"/>
          <w:vertAlign w:val="superscript"/>
        </w:rPr>
        <w:t>2</w:t>
      </w:r>
      <w:r>
        <w:rPr>
          <w:rFonts w:ascii="Helvetica" w:hAnsi="Helvetica" w:cs="Arial"/>
          <w:i/>
          <w:sz w:val="14"/>
          <w:szCs w:val="14"/>
        </w:rPr>
        <w:t xml:space="preserve"/>
      </w:r>
      <w:hyperlink r:id="rId7" w:history="1">
        <w:r>
          <w:rPr>
            <w:rStyle w:val="Hipervnculo"/>
            <w:rFonts w:ascii="Helvetica" w:hAnsi="Helvetica" w:cs="Arial"/>
            <w:i/>
            <w:sz w:val="14"/>
            <w:szCs w:val="14"/>
          </w:rPr>
          <w:t>[correo@institucion.mx]</w:t>
        </w:r>
      </w:hyperlink>
    </w:p>
    <w:p w14:paraId="005D184F" w14:textId="77777777" w:rsidR="00C55634" w:rsidRDefault="00C55634" w:rsidP="00511E69">
      <w:pPr>
        <w:jc w:val="center"/>
        <w:rPr>
          <w:rFonts w:ascii="Helvetica" w:hAnsi="Helvetica" w:cs="Arial"/>
          <w:i/>
          <w:sz w:val="16"/>
          <w:szCs w:val="16"/>
        </w:rPr>
      </w:pPr>
    </w:p>
    <w:p w14:paraId="4FA222BF" w14:textId="122EBBA7" w:rsidR="00324FA3" w:rsidRPr="001A0CFE" w:rsidRDefault="00F0133F" w:rsidP="00511E69">
      <w:pPr>
        <w:jc w:val="center"/>
        <w:rPr>
          <w:rFonts w:ascii="Arial" w:hAnsi="Arial" w:cs="Arial"/>
          <w:sz w:val="14"/>
          <w:szCs w:val="14"/>
        </w:rPr>
      </w:pPr>
      <w:r>
        <w:rPr>
          <w:rFonts w:ascii="Helvetica" w:hAnsi="Helvetica" w:cs="Arial"/>
          <w:i/>
          <w:sz w:val="14"/>
          <w:szCs w:val="14"/>
        </w:rPr>
        <w:t xml:space="preserve">[Agradecimientos, si aplica]</w:t>
      </w:r>
    </w:p>
    <w:p w14:paraId="1700FFE9" w14:textId="77777777" w:rsidR="00821050" w:rsidRDefault="00821050" w:rsidP="00511E69">
      <w:pPr>
        <w:rPr>
          <w:rFonts w:ascii="Arial" w:hAnsi="Arial" w:cs="Arial"/>
          <w:lang w:val="es-ES"/>
        </w:rPr>
      </w:pPr>
    </w:p>
    <w:p w14:paraId="3D5C32B8" w14:textId="1D732AC9" w:rsidR="00F0133F" w:rsidRPr="009A5649" w:rsidRDefault="009A5649" w:rsidP="00511E69">
      <w:pPr>
        <w:rPr>
          <w:rFonts w:ascii="Arial" w:hAnsi="Arial" w:cs="Arial"/>
          <w:sz w:val="22"/>
          <w:szCs w:val="22"/>
          <w:lang w:val="es-ES"/>
        </w:rPr>
      </w:pPr>
      <w:r>
        <w:rPr>
          <w:rFonts w:ascii="Arial" w:hAnsi="Arial" w:cs="Arial"/>
          <w:b/>
          <w:bCs/>
          <w:color w:val="701445"/>
          <w:sz w:val="22"/>
          <w:szCs w:val="22"/>
        </w:rPr>
        <w:t>RESUMEN.</w:t>
      </w:r>
      <w:r>
        <w:rPr>
          <w:rFonts w:ascii="Arial" w:hAnsi="Arial" w:cs="Arial"/>
          <w:sz w:val="22"/>
          <w:szCs w:val="22"/>
          <w:lang w:val="es-ES"/>
        </w:rPr>
        <w:t xml:space="preserve"> La esteatosis hepática no alcohólica es una enfermedad crónica prevalente que con frecuencia se diagnostica en etapas avanzadas por falta de herramientas de cribado accesibles y no invasivas. El presente trabajo desarrolla HepatoIA, un modelo de aprendizaje automático capaz de estimar el grado de severidad de la esteatosis hepática a partir de variables clínicas de rutina, para apoyar la identificación temprana de pacientes en riesgo. Se construyó una base de datos combinando dos ciclos de la Encuesta Nacional de Salud y Nutrición de Estados Unidos, con información de más de once mil adultos con examen de elastografía hepática confiable, excluyendo el consumo excesivo de alcohol para aislar la forma no alcohólica de la enfermedad. A partir de nueve variables derivadas de la circunferencia de cintura, la edad, enzimas hepáticas, ácido úrico y razones lipídicas, se entrenó una regresión logística multinomial regularizada, implementada desde cero, con calibración de probabilidades por temperatura, para clasificar a cada paciente en tres grados de severidad: normal, leve o moderada, y severa. El modelo alcanzó una exactitud global de sesenta y tres por ciento y un área bajo la curva macropromediada de setenta y nueve por ciento, con el noventa y dos por ciento de las predicciones dentro de una clase adyacente a la real y una confusión entre las clases extremas de apenas ocho por ciento. Estos resultados sugieren que, tras la validación clínica correspondiente, la herramienta podría integrarse como apoyo de cribado preventivo, respetando los lineamientos aplicables a software como dispositivo médico.</w:t>
      </w:r>
    </w:p>
    <w:p w14:paraId="30D081EE" w14:textId="77777777" w:rsidR="009A5649" w:rsidRPr="009A5649" w:rsidRDefault="009A5649" w:rsidP="00511E69">
      <w:pPr>
        <w:rPr>
          <w:rFonts w:ascii="Arial" w:hAnsi="Arial" w:cs="Arial"/>
          <w:sz w:val="22"/>
          <w:szCs w:val="22"/>
          <w:lang w:val="es-ES"/>
        </w:rPr>
      </w:pPr>
    </w:p>
    <w:p w14:paraId="634422A6" w14:textId="77777777" w:rsidR="009A5649" w:rsidRPr="009A5649" w:rsidRDefault="009A5649" w:rsidP="00511E69">
      <w:pPr>
        <w:rPr>
          <w:rFonts w:ascii="Arial" w:hAnsi="Arial" w:cs="Arial"/>
          <w:sz w:val="22"/>
          <w:szCs w:val="22"/>
          <w:lang w:val="es-ES"/>
        </w:rPr>
      </w:pPr>
      <w:r>
        <w:rPr>
          <w:rFonts w:ascii="Arial" w:hAnsi="Arial" w:cs="Arial"/>
          <w:sz w:val="22"/>
          <w:szCs w:val="22"/>
          <w:lang w:val="es-ES"/>
        </w:rPr>
        <w:t/>
      </w:r>
    </w:p>
    <w:p w14:paraId="2F1211DD" w14:textId="77777777" w:rsidR="009A5649" w:rsidRPr="009A5649" w:rsidRDefault="009A5649" w:rsidP="00511E69">
      <w:pPr>
        <w:rPr>
          <w:rFonts w:ascii="Arial" w:hAnsi="Arial" w:cs="Arial"/>
          <w:sz w:val="22"/>
          <w:szCs w:val="22"/>
        </w:rPr>
      </w:pPr>
    </w:p>
    <w:p w14:paraId="5B2C244B" w14:textId="0878C570" w:rsidR="009A5649" w:rsidRPr="009A5649" w:rsidRDefault="009A5649" w:rsidP="00511E69">
      <w:pPr>
        <w:rPr>
          <w:rFonts w:ascii="Arial" w:hAnsi="Arial" w:cs="Arial"/>
          <w:sz w:val="22"/>
          <w:szCs w:val="22"/>
          <w:lang w:val="es-ES"/>
        </w:rPr>
      </w:pPr>
      <w:r>
        <w:rPr>
          <w:rFonts w:ascii="Arial" w:hAnsi="Arial" w:cs="Arial"/>
          <w:b/>
          <w:bCs/>
          <w:color w:val="701445"/>
          <w:sz w:val="22"/>
          <w:szCs w:val="22"/>
          <w:lang w:val="es-ES"/>
        </w:rPr>
        <w:t>PALABRAS CLAVE.</w:t>
      </w:r>
      <w:r>
        <w:rPr>
          <w:rFonts w:ascii="Arial" w:hAnsi="Arial" w:cs="Arial"/>
          <w:color w:val="701445"/>
          <w:sz w:val="22"/>
          <w:szCs w:val="22"/>
          <w:lang w:val="es-ES"/>
        </w:rPr>
        <w:t xml:space="preserve"> </w:t>
      </w:r>
      <w:r>
        <w:rPr>
          <w:rFonts w:ascii="Arial" w:hAnsi="Arial" w:cs="Arial"/>
          <w:sz w:val="22"/>
          <w:szCs w:val="22"/>
          <w:lang w:val="es-ES"/>
        </w:rPr>
        <w:t>hígado graso, aprendizaje automático, regresión logística multinomial, NHANES, diagnóstico no invasivo</w:t>
      </w:r>
    </w:p>
    <w:p w14:paraId="12C3C223" w14:textId="77777777" w:rsidR="009A5649" w:rsidRPr="009A5649" w:rsidRDefault="009A5649" w:rsidP="00511E69">
      <w:pPr>
        <w:rPr>
          <w:rFonts w:ascii="Arial" w:hAnsi="Arial" w:cs="Arial"/>
          <w:sz w:val="22"/>
          <w:szCs w:val="22"/>
          <w:lang w:val="es-ES"/>
        </w:rPr>
      </w:pPr>
    </w:p>
    <w:p w14:paraId="163790D5" w14:textId="553AD3E9" w:rsidR="009A5649" w:rsidRPr="009A5649" w:rsidRDefault="009A5649" w:rsidP="00511E69">
      <w:pPr>
        <w:rPr>
          <w:rFonts w:ascii="Arial" w:hAnsi="Arial" w:cs="Arial"/>
          <w:sz w:val="22"/>
          <w:szCs w:val="22"/>
          <w:lang w:val="es-ES"/>
        </w:rPr>
      </w:pPr>
      <w:r>
        <w:rPr>
          <w:rFonts w:ascii="Arial" w:hAnsi="Arial" w:cs="Arial"/>
          <w:b/>
          <w:bCs/>
          <w:color w:val="701445"/>
          <w:sz w:val="22"/>
          <w:szCs w:val="22"/>
          <w:lang w:val="es-ES"/>
        </w:rPr>
        <w:t>INTRODUCCIÓN.</w:t>
      </w:r>
      <w:r>
        <w:rPr>
          <w:rFonts w:ascii="Arial" w:hAnsi="Arial" w:cs="Arial"/>
          <w:sz w:val="22"/>
          <w:szCs w:val="22"/>
          <w:lang w:val="es-ES"/>
        </w:rPr>
        <w:t xml:space="preserve"> La esteatosis hepática no alcohólica, definida como la acumulación de grasa en el hígado no atribuible al consumo de alcohol, afecta a una proporción creciente de la población adulta y constituye la principal causa de enfermedad hepática crónica a nivel mundial. Su progresión hacia esteatohepatitis, fibrosis y cirrosis suele ser asintomática durante años, por lo que gran parte de los casos se detecta de forma tardía, cuando el daño hepático ya es considerable. El método de referencia para evaluar el grado de esteatosis es la biopsia hepática, un procedimiento invasivo, costoso y con riesgo de complicaciones, lo que limita su uso como herramienta de cribado poblacional. Técnicas no invasivas como la elastografía de transición con parámetro de atenuación controlada permiten estimar el grado de esteatosis con buena correlación histológica, pero requieren equipo especializado que no está disponible en todos los niveles de atención. En este contexto, el aprendizaje automático aplicado a variables clínicas y bioquímicas de rutina se ha propuesto como una alternativa de bajo costo para estratificar el riesgo de esteatosis hepática antes de recurrir a estudios de imagen. Estudios recientes basados en la Encuesta Nacional de Salud y Nutrición de Estados Unidos han mostrado que razones derivadas de triglicéridos, colesterol y transaminasas mejoran la discriminación de modelos de riesgo hepático frente al uso de variables crudas de forma aislada. Sobre esta base, el presente trabajo plantea el desarrollo de un modelo de clasificación de severidad hepática entrenado con datos clínicos reales de gran escala, orientado a servir como una herramienta preventiva de apoyo diagnóstico.</w:t>
      </w:r>
    </w:p>
    <w:p w14:paraId="1B2EE7C3" w14:textId="77777777" w:rsidR="009A5649" w:rsidRPr="00C70A43" w:rsidRDefault="009A5649" w:rsidP="00511E69">
      <w:pPr>
        <w:rPr>
          <w:rFonts w:ascii="Arial" w:hAnsi="Arial" w:cs="Arial"/>
          <w:sz w:val="22"/>
          <w:szCs w:val="22"/>
          <w:lang w:val="en-US"/>
        </w:rPr>
      </w:pPr>
    </w:p>
    <w:p w14:paraId="07E426F0" w14:textId="77777777" w:rsidR="00C70A43" w:rsidRDefault="00C70A43" w:rsidP="00511E69">
      <w:pPr>
        <w:rPr>
          <w:rFonts w:ascii="Arial" w:hAnsi="Arial" w:cs="Arial"/>
          <w:sz w:val="22"/>
          <w:szCs w:val="22"/>
          <w:lang w:val="en-US"/>
        </w:rPr>
      </w:pPr>
    </w:p>
    <w:p w14:paraId="621987F4" w14:textId="47364439" w:rsidR="00C70A43" w:rsidRPr="00C70A43" w:rsidRDefault="00C70A43" w:rsidP="00511E69">
      <w:pPr>
        <w:rPr>
          <w:rFonts w:ascii="Arial" w:hAnsi="Arial" w:cs="Arial"/>
          <w:color w:val="000000" w:themeColor="text1"/>
          <w:sz w:val="22"/>
          <w:szCs w:val="22"/>
        </w:rPr>
      </w:pPr>
      <w:r>
        <w:rPr>
          <w:rFonts w:ascii="Arial" w:hAnsi="Arial" w:cs="Arial"/>
          <w:b/>
          <w:bCs/>
          <w:color w:val="701445"/>
          <w:sz w:val="22"/>
          <w:szCs w:val="22"/>
        </w:rPr>
        <w:t>MATERIALES Y MÉTODOS.</w:t>
      </w:r>
      <w:r>
        <w:rPr>
          <w:rFonts w:ascii="Arial" w:hAnsi="Arial" w:cs="Arial"/>
          <w:color w:val="000000" w:themeColor="text1"/>
          <w:sz w:val="22"/>
          <w:szCs w:val="22"/>
        </w:rPr>
        <w:t xml:space="preserve">Se integraron dos ciclos de la Encuesta Nacional de Salud y Nutrición de Estados Unidos (2017-marzo 2020 y agosto 2021-2023), combinando un total de once mil quinientos cinco adultos con examen de elastografía hepática completo y confiable (coeficiente de variación de la medición de rigidez menor al treinta por ciento). Se excluyeron mujeres embarazadas y personas con consumo excesivo de alcohol, definido como quince o más bebidas diarias en promedio o consumo de tres a cuatro veces por semana, para que la etiqueta reflejara exclusivamente esteatosis no alcohólica. La variable objetivo se derivó del grado de esteatosis estimado por el parámetro de atenuación controlada de la elastografía y se agrupó en tres categorías clínicamente interpretables: normal, leve o moderada, y severa, fusionando los grados intermedios para evitar una clase minoritaria poco representada. Como predictores se emplearon nueve variables clínicas y derivadas: circunferencia de cintura, edad, gamma-glutamil transferasa, ácido úrico, y las razones triglicéridos entre lipoproteínas de alta densidad, aspartato aminotransferasa entre alanina aminotransferasa, índice triglicéridos-glucosa, lipoproteínas de alta densidad entre índice de masa corporal, y colesterol no unido a lipoproteínas de alta densidad entre lipoproteínas de alta densidad. Se excluyeron del entrenamiento las variables derivadas directamente del diagnóstico de referencia para evitar fuga de información. Se entrenó una regresión logística multinomial regularizada mediante descenso de gradiente con ponderación por clase, implementada en Python con la biblioteca NumPy, seguida de una etapa de calibración de probabilidades por temperatura. El conjunto de datos se dividió de forma estratificada en entrenamiento, calibración y prueba, evaluando el desempeño final sobre el conjunto de prueba mediante exactitud, área bajo la curva, precisión, sensibilidad, especificidad y puntaje de Brier, calculadas de forma macropromediada entre clases.</w:t>
      </w:r>
    </w:p>
    <w:p w14:paraId="696DC263" w14:textId="77777777" w:rsidR="00C70A43" w:rsidRPr="00C70A43" w:rsidRDefault="00C70A43" w:rsidP="00511E69">
      <w:pPr>
        <w:rPr>
          <w:rFonts w:ascii="Arial" w:hAnsi="Arial" w:cs="Arial"/>
          <w:sz w:val="22"/>
          <w:szCs w:val="22"/>
        </w:rPr>
      </w:pPr>
    </w:p>
    <w:p w14:paraId="32C74A53" w14:textId="77777777" w:rsidR="00C70A43" w:rsidRPr="00C70A43" w:rsidRDefault="00C70A43" w:rsidP="00511E69">
      <w:pPr>
        <w:rPr>
          <w:rFonts w:ascii="Arial" w:hAnsi="Arial" w:cs="Arial"/>
          <w:sz w:val="22"/>
          <w:szCs w:val="22"/>
        </w:rPr>
      </w:pPr>
    </w:p>
    <w:p w14:paraId="6822FA29" w14:textId="77777777" w:rsidR="00C70A43" w:rsidRDefault="00C70A43" w:rsidP="00511E69">
      <w:pPr>
        <w:rPr>
          <w:rFonts w:ascii="Arial" w:hAnsi="Arial" w:cs="Arial"/>
          <w:sz w:val="18"/>
          <w:szCs w:val="18"/>
        </w:rPr>
      </w:pPr>
    </w:p>
    <w:p w14:paraId="20E3F4A0" w14:textId="77777777" w:rsidR="00C70A43" w:rsidRDefault="00C70A43" w:rsidP="00511E69">
      <w:pPr>
        <w:rPr>
          <w:rFonts w:ascii="Arial" w:hAnsi="Arial" w:cs="Arial"/>
          <w:sz w:val="18"/>
          <w:szCs w:val="18"/>
        </w:rPr>
      </w:pPr>
    </w:p>
    <w:p w14:paraId="642C7005" w14:textId="77777777" w:rsidR="00C70A43" w:rsidRPr="00C70A43" w:rsidRDefault="00C70A43" w:rsidP="00511E69">
      <w:pPr>
        <w:rPr>
          <w:rFonts w:ascii="Arial" w:hAnsi="Arial" w:cs="Arial"/>
          <w:color w:val="701445"/>
          <w:sz w:val="21"/>
          <w:szCs w:val="21"/>
        </w:rPr>
      </w:pPr>
      <w:r>
        <w:rPr>
          <w:rFonts w:ascii="Arial" w:hAnsi="Arial" w:cs="Arial"/>
          <w:b/>
          <w:bCs/>
          <w:color w:val="701445"/>
          <w:sz w:val="21"/>
          <w:szCs w:val="21"/>
        </w:rPr>
        <w:t>BIBLIOGRAFÍA.</w:t>
      </w:r>
      <w:r>
        <w:rPr>
          <w:rFonts w:ascii="Arial" w:hAnsi="Arial" w:cs="Arial"/>
          <w:color w:val="701445"/>
          <w:sz w:val="21"/>
          <w:szCs w:val="21"/>
        </w:rPr>
        <w:t xml:space="preserve"> </w:t>
      </w:r>
    </w:p>
    <w:p w:rsidR="00C70A43" w:rsidRPr="00C70A43" w:rsidRDefault="00C70A43" w:rsidP="00511E69">
      <w:pPr>
        <w:rPr>
          <w:rFonts w:ascii="Arial" w:hAnsi="Arial" w:cs="Arial"/>
          <w:sz w:val="20"/>
          <w:szCs w:val="20"/>
        </w:rPr>
      </w:pPr>
      <w:r>
        <w:rPr>
          <w:rFonts w:ascii="Arial" w:hAnsi="Arial" w:cs="Arial"/>
          <w:sz w:val="20"/>
          <w:szCs w:val="20"/>
        </w:rPr>
        <w:t xml:space="preserve">Centers for Disease Control and Prevention (CDC), National Center for Health Statistics (NCHS). (2023). National Health and Nutrition Examination Survey (NHANES), ciclos 2017-marzo 2020 y agosto 2021-2023. Recuperado de https://www.cdc.gov/nchs/nhanes/</w:t>
      </w:r>
    </w:p>
    <w:p w:rsidR="00C70A43" w:rsidRPr="00C70A43" w:rsidRDefault="00C70A43" w:rsidP="00511E69">
      <w:pPr>
        <w:rPr>
          <w:rFonts w:ascii="Arial" w:hAnsi="Arial" w:cs="Arial"/>
          <w:sz w:val="20"/>
          <w:szCs w:val="20"/>
        </w:rPr>
      </w:pPr>
      <w:r>
        <w:rPr>
          <w:rFonts w:ascii="Arial" w:hAnsi="Arial" w:cs="Arial"/>
          <w:sz w:val="20"/>
          <w:szCs w:val="20"/>
        </w:rPr>
        <w:t xml:space="preserve">Lin, L. et al. (2025). [Verificar título y autoría completa antes de enviar]. PLOS ONE. https://doi.org/10.1371/journal.pone.0319851</w:t>
      </w:r>
    </w:p>
    <w:p w:rsidR="00C70A43" w:rsidRPr="00C70A43" w:rsidRDefault="00C70A43" w:rsidP="00511E69">
      <w:pPr>
        <w:rPr>
          <w:rFonts w:ascii="Arial" w:hAnsi="Arial" w:cs="Arial"/>
          <w:sz w:val="20"/>
          <w:szCs w:val="20"/>
        </w:rPr>
      </w:pPr>
      <w:r>
        <w:rPr>
          <w:rFonts w:ascii="Arial" w:hAnsi="Arial" w:cs="Arial"/>
          <w:sz w:val="20"/>
          <w:szCs w:val="20"/>
        </w:rPr>
        <w:t xml:space="preserve">Wang, et al. (2025). [Verificar título y autoría completa antes de enviar]. BMC Gastroenterology. https://pmc.ncbi.nlm.nih.gov/articles/PMC11998142/</w:t>
      </w:r>
    </w:p>
    <w:sectPr w:rsidR="009A5649" w:rsidRPr="00C70A43" w:rsidSect="00A4088A">
      <w:headerReference w:type="default" r:id="rId10"/>
      <w:pgSz w:w="12240" w:h="15840"/>
      <w:pgMar w:top="2464" w:right="1324" w:bottom="160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8148B" w14:textId="77777777" w:rsidR="000A2BF1" w:rsidRDefault="000A2BF1" w:rsidP="00324FA3">
      <w:r>
        <w:separator/>
      </w:r>
    </w:p>
  </w:endnote>
  <w:endnote w:type="continuationSeparator" w:id="0">
    <w:p w14:paraId="24DC46DD" w14:textId="77777777" w:rsidR="000A2BF1" w:rsidRDefault="000A2BF1" w:rsidP="00324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FormataOTF-Bold">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61DAC" w14:textId="77777777" w:rsidR="000A2BF1" w:rsidRDefault="000A2BF1" w:rsidP="00324FA3">
      <w:r>
        <w:separator/>
      </w:r>
    </w:p>
  </w:footnote>
  <w:footnote w:type="continuationSeparator" w:id="0">
    <w:p w14:paraId="0FE63252" w14:textId="77777777" w:rsidR="000A2BF1" w:rsidRDefault="000A2BF1" w:rsidP="00324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5F2DA" w14:textId="37FF14C6" w:rsidR="00C70A43" w:rsidRDefault="00C70A43">
    <w:pPr>
      <w:pStyle w:val="Encabezado"/>
    </w:pPr>
    <w:r w:rsidRPr="000F3A29">
      <w:rPr>
        <w:noProof/>
      </w:rPr>
      <w:drawing>
        <wp:anchor distT="0" distB="0" distL="114300" distR="114300" simplePos="0" relativeHeight="251659264" behindDoc="1" locked="0" layoutInCell="1" allowOverlap="1" wp14:anchorId="4FCCC8F2" wp14:editId="67F8E196">
          <wp:simplePos x="0" y="0"/>
          <wp:positionH relativeFrom="column">
            <wp:posOffset>-897727</wp:posOffset>
          </wp:positionH>
          <wp:positionV relativeFrom="paragraph">
            <wp:posOffset>-457835</wp:posOffset>
          </wp:positionV>
          <wp:extent cx="7776605" cy="10063892"/>
          <wp:effectExtent l="0" t="0" r="0" b="0"/>
          <wp:wrapNone/>
          <wp:docPr id="193333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9732" name=""/>
                  <pic:cNvPicPr/>
                </pic:nvPicPr>
                <pic:blipFill>
                  <a:blip r:embed="rId1">
                    <a:extLst>
                      <a:ext uri="{28A0092B-C50C-407E-A947-70E740481C1C}">
                        <a14:useLocalDpi xmlns:a14="http://schemas.microsoft.com/office/drawing/2010/main" val="0"/>
                      </a:ext>
                    </a:extLst>
                  </a:blip>
                  <a:stretch>
                    <a:fillRect/>
                  </a:stretch>
                </pic:blipFill>
                <pic:spPr>
                  <a:xfrm>
                    <a:off x="0" y="0"/>
                    <a:ext cx="7776605" cy="100638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15CF9"/>
    <w:multiLevelType w:val="hybridMultilevel"/>
    <w:tmpl w:val="24505582"/>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07527B"/>
    <w:multiLevelType w:val="hybridMultilevel"/>
    <w:tmpl w:val="268896BC"/>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73C374E"/>
    <w:multiLevelType w:val="hybridMultilevel"/>
    <w:tmpl w:val="11F2B48A"/>
    <w:lvl w:ilvl="0" w:tplc="9D88D028">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3228512">
    <w:abstractNumId w:val="2"/>
  </w:num>
  <w:num w:numId="2" w16cid:durableId="538517793">
    <w:abstractNumId w:val="1"/>
  </w:num>
  <w:num w:numId="3" w16cid:durableId="1872186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A3"/>
    <w:rsid w:val="00010B53"/>
    <w:rsid w:val="00023F6A"/>
    <w:rsid w:val="00025D26"/>
    <w:rsid w:val="00042160"/>
    <w:rsid w:val="000804EE"/>
    <w:rsid w:val="000A2BF1"/>
    <w:rsid w:val="000E7DCE"/>
    <w:rsid w:val="0013026A"/>
    <w:rsid w:val="00165A39"/>
    <w:rsid w:val="00172444"/>
    <w:rsid w:val="00174937"/>
    <w:rsid w:val="0018019A"/>
    <w:rsid w:val="001A0CFE"/>
    <w:rsid w:val="001D4C38"/>
    <w:rsid w:val="00201DE6"/>
    <w:rsid w:val="00201E88"/>
    <w:rsid w:val="002172AD"/>
    <w:rsid w:val="00220D04"/>
    <w:rsid w:val="002F4F92"/>
    <w:rsid w:val="00324FA3"/>
    <w:rsid w:val="00330CB6"/>
    <w:rsid w:val="00365E7E"/>
    <w:rsid w:val="00392E31"/>
    <w:rsid w:val="00397039"/>
    <w:rsid w:val="004121E7"/>
    <w:rsid w:val="00454DED"/>
    <w:rsid w:val="004832BB"/>
    <w:rsid w:val="00502A36"/>
    <w:rsid w:val="00511E69"/>
    <w:rsid w:val="00537867"/>
    <w:rsid w:val="00543F0E"/>
    <w:rsid w:val="005756FF"/>
    <w:rsid w:val="005C52E5"/>
    <w:rsid w:val="00622ADC"/>
    <w:rsid w:val="0062751B"/>
    <w:rsid w:val="00630559"/>
    <w:rsid w:val="006962D2"/>
    <w:rsid w:val="006B3C8C"/>
    <w:rsid w:val="00704692"/>
    <w:rsid w:val="007430DD"/>
    <w:rsid w:val="00752C02"/>
    <w:rsid w:val="007B48ED"/>
    <w:rsid w:val="007E5AFF"/>
    <w:rsid w:val="007F5299"/>
    <w:rsid w:val="00821050"/>
    <w:rsid w:val="008549F1"/>
    <w:rsid w:val="00864086"/>
    <w:rsid w:val="00873892"/>
    <w:rsid w:val="0088394B"/>
    <w:rsid w:val="008A7BF3"/>
    <w:rsid w:val="008C3998"/>
    <w:rsid w:val="00905B7E"/>
    <w:rsid w:val="00946A47"/>
    <w:rsid w:val="00955E09"/>
    <w:rsid w:val="00983736"/>
    <w:rsid w:val="00987FE9"/>
    <w:rsid w:val="00994F4F"/>
    <w:rsid w:val="009A5649"/>
    <w:rsid w:val="009D1353"/>
    <w:rsid w:val="009D38D4"/>
    <w:rsid w:val="00A11F3B"/>
    <w:rsid w:val="00A4088A"/>
    <w:rsid w:val="00A459C3"/>
    <w:rsid w:val="00A52B2E"/>
    <w:rsid w:val="00A75C9F"/>
    <w:rsid w:val="00A777D3"/>
    <w:rsid w:val="00AB7229"/>
    <w:rsid w:val="00AE1746"/>
    <w:rsid w:val="00B01173"/>
    <w:rsid w:val="00B05159"/>
    <w:rsid w:val="00B14294"/>
    <w:rsid w:val="00B15E33"/>
    <w:rsid w:val="00B24F6E"/>
    <w:rsid w:val="00B8155B"/>
    <w:rsid w:val="00B85627"/>
    <w:rsid w:val="00B86233"/>
    <w:rsid w:val="00BA70A8"/>
    <w:rsid w:val="00BC10B3"/>
    <w:rsid w:val="00BF38BE"/>
    <w:rsid w:val="00C35580"/>
    <w:rsid w:val="00C55634"/>
    <w:rsid w:val="00C70A43"/>
    <w:rsid w:val="00C72DC3"/>
    <w:rsid w:val="00C91994"/>
    <w:rsid w:val="00CE6B58"/>
    <w:rsid w:val="00D2613D"/>
    <w:rsid w:val="00D2630D"/>
    <w:rsid w:val="00D55691"/>
    <w:rsid w:val="00DA753A"/>
    <w:rsid w:val="00DE0365"/>
    <w:rsid w:val="00DE41FE"/>
    <w:rsid w:val="00E3623E"/>
    <w:rsid w:val="00E67EAF"/>
    <w:rsid w:val="00E77B3A"/>
    <w:rsid w:val="00EF5EB1"/>
    <w:rsid w:val="00F01094"/>
    <w:rsid w:val="00F0133F"/>
    <w:rsid w:val="00F969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0E07"/>
  <w15:chartTrackingRefBased/>
  <w15:docId w15:val="{66CEC8D9-A231-E645-8125-193CEA2D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rsid w:val="00324FA3"/>
    <w:rPr>
      <w:rFonts w:ascii="Times New Roman" w:eastAsia="Times New Roman" w:hAnsi="Times New Roman" w:cs="Times New Roman"/>
      <w:kern w:val="0"/>
      <w:lang w:val="es-ES" w:eastAsia="es-ES"/>
      <w14:ligatures w14:val="none"/>
    </w:rPr>
  </w:style>
  <w:style w:type="character" w:customStyle="1" w:styleId="TextonotapieCar">
    <w:name w:val="Texto nota pie Car"/>
    <w:basedOn w:val="Fuentedeprrafopredeter"/>
    <w:link w:val="Textonotapie"/>
    <w:rsid w:val="00324FA3"/>
    <w:rPr>
      <w:rFonts w:ascii="Times New Roman" w:eastAsia="Times New Roman" w:hAnsi="Times New Roman" w:cs="Times New Roman"/>
      <w:kern w:val="0"/>
      <w:lang w:val="es-ES" w:eastAsia="es-ES"/>
      <w14:ligatures w14:val="none"/>
    </w:rPr>
  </w:style>
  <w:style w:type="character" w:styleId="Refdenotaalpie">
    <w:name w:val="footnote reference"/>
    <w:rsid w:val="00324FA3"/>
    <w:rPr>
      <w:vertAlign w:val="superscript"/>
    </w:rPr>
  </w:style>
  <w:style w:type="paragraph" w:styleId="Encabezado">
    <w:name w:val="header"/>
    <w:basedOn w:val="Normal"/>
    <w:link w:val="EncabezadoCar"/>
    <w:uiPriority w:val="99"/>
    <w:unhideWhenUsed/>
    <w:rsid w:val="00324FA3"/>
    <w:pPr>
      <w:tabs>
        <w:tab w:val="center" w:pos="4419"/>
        <w:tab w:val="right" w:pos="8838"/>
      </w:tabs>
    </w:pPr>
  </w:style>
  <w:style w:type="character" w:customStyle="1" w:styleId="EncabezadoCar">
    <w:name w:val="Encabezado Car"/>
    <w:basedOn w:val="Fuentedeprrafopredeter"/>
    <w:link w:val="Encabezado"/>
    <w:uiPriority w:val="99"/>
    <w:rsid w:val="00324FA3"/>
  </w:style>
  <w:style w:type="paragraph" w:styleId="Piedepgina">
    <w:name w:val="footer"/>
    <w:basedOn w:val="Normal"/>
    <w:link w:val="PiedepginaCar"/>
    <w:uiPriority w:val="99"/>
    <w:unhideWhenUsed/>
    <w:rsid w:val="00324FA3"/>
    <w:pPr>
      <w:tabs>
        <w:tab w:val="center" w:pos="4419"/>
        <w:tab w:val="right" w:pos="8838"/>
      </w:tabs>
    </w:pPr>
  </w:style>
  <w:style w:type="character" w:customStyle="1" w:styleId="PiedepginaCar">
    <w:name w:val="Pie de página Car"/>
    <w:basedOn w:val="Fuentedeprrafopredeter"/>
    <w:link w:val="Piedepgina"/>
    <w:uiPriority w:val="99"/>
    <w:rsid w:val="00324FA3"/>
  </w:style>
  <w:style w:type="paragraph" w:styleId="NormalWeb">
    <w:name w:val="Normal (Web)"/>
    <w:basedOn w:val="Normal"/>
    <w:uiPriority w:val="99"/>
    <w:semiHidden/>
    <w:unhideWhenUsed/>
    <w:rsid w:val="00543F0E"/>
    <w:pPr>
      <w:spacing w:before="100" w:beforeAutospacing="1" w:after="100" w:afterAutospacing="1"/>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20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01E88"/>
    <w:rPr>
      <w:color w:val="0563C1" w:themeColor="hyperlink"/>
      <w:u w:val="single"/>
    </w:rPr>
  </w:style>
  <w:style w:type="character" w:styleId="Mencinsinresolver">
    <w:name w:val="Unresolved Mention"/>
    <w:basedOn w:val="Fuentedeprrafopredeter"/>
    <w:uiPriority w:val="99"/>
    <w:semiHidden/>
    <w:unhideWhenUsed/>
    <w:rsid w:val="00201E88"/>
    <w:rPr>
      <w:color w:val="605E5C"/>
      <w:shd w:val="clear" w:color="auto" w:fill="E1DFDD"/>
    </w:rPr>
  </w:style>
  <w:style w:type="paragraph" w:customStyle="1" w:styleId="PARA">
    <w:name w:val="PARA"/>
    <w:basedOn w:val="Normal"/>
    <w:rsid w:val="00BA70A8"/>
    <w:pPr>
      <w:suppressAutoHyphens/>
      <w:autoSpaceDE w:val="0"/>
      <w:autoSpaceDN w:val="0"/>
      <w:adjustRightInd w:val="0"/>
      <w:spacing w:line="240" w:lineRule="exact"/>
      <w:jc w:val="both"/>
    </w:pPr>
    <w:rPr>
      <w:rFonts w:ascii="Times New Roman" w:eastAsia="Times New Roman" w:hAnsi="Times New Roman" w:cs="TimesLTStd-Roman"/>
      <w:spacing w:val="-2"/>
      <w:kern w:val="0"/>
      <w:sz w:val="20"/>
      <w:szCs w:val="20"/>
      <w:lang w:val="en-US"/>
      <w14:ligatures w14:val="none"/>
    </w:rPr>
  </w:style>
  <w:style w:type="paragraph" w:customStyle="1" w:styleId="Equation">
    <w:name w:val="Equation"/>
    <w:basedOn w:val="Normal"/>
    <w:rsid w:val="00BA70A8"/>
    <w:pPr>
      <w:tabs>
        <w:tab w:val="left" w:pos="4584"/>
      </w:tabs>
      <w:autoSpaceDE w:val="0"/>
      <w:autoSpaceDN w:val="0"/>
      <w:adjustRightInd w:val="0"/>
      <w:spacing w:before="120" w:after="120"/>
      <w:ind w:left="1600"/>
    </w:pPr>
    <w:rPr>
      <w:rFonts w:ascii="Times New Roman" w:eastAsia="Times New Roman" w:hAnsi="Times New Roman" w:cs="MTSYN"/>
      <w:i/>
      <w:kern w:val="0"/>
      <w:sz w:val="20"/>
      <w:szCs w:val="20"/>
      <w:lang w:val="en-US"/>
      <w14:ligatures w14:val="none"/>
    </w:rPr>
  </w:style>
  <w:style w:type="paragraph" w:styleId="Prrafodelista">
    <w:name w:val="List Paragraph"/>
    <w:basedOn w:val="Normal"/>
    <w:uiPriority w:val="34"/>
    <w:qFormat/>
    <w:rsid w:val="00DA753A"/>
    <w:pPr>
      <w:ind w:left="720"/>
      <w:contextualSpacing/>
    </w:pPr>
  </w:style>
  <w:style w:type="paragraph" w:customStyle="1" w:styleId="FigCaption">
    <w:name w:val="Fig Caption"/>
    <w:basedOn w:val="Normal"/>
    <w:rsid w:val="00165A39"/>
    <w:pPr>
      <w:autoSpaceDE w:val="0"/>
      <w:autoSpaceDN w:val="0"/>
      <w:adjustRightInd w:val="0"/>
      <w:spacing w:before="140"/>
    </w:pPr>
    <w:rPr>
      <w:rFonts w:ascii="Helvetica" w:eastAsia="Times New Roman" w:hAnsi="Helvetica" w:cs="FormataOTF-Bold"/>
      <w:b/>
      <w:bCs/>
      <w:kern w:val="0"/>
      <w:sz w:val="14"/>
      <w:szCs w:val="14"/>
      <w:lang w:val="en-US"/>
      <w14:ligatures w14:val="none"/>
    </w:rPr>
  </w:style>
  <w:style w:type="character" w:customStyle="1" w:styleId="CaptionColor">
    <w:name w:val="Caption Color"/>
    <w:rsid w:val="00165A39"/>
    <w:rPr>
      <w:rFonts w:ascii="Helvetica" w:hAnsi="Helvetica" w:cs="FormataOTF-Bold"/>
      <w:bCs/>
      <w:color w:val="00629B"/>
      <w:sz w:val="14"/>
      <w:szCs w:val="14"/>
    </w:rPr>
  </w:style>
  <w:style w:type="paragraph" w:customStyle="1" w:styleId="TableTitle">
    <w:name w:val="Table Title"/>
    <w:basedOn w:val="Normal"/>
    <w:rsid w:val="00165A39"/>
    <w:pPr>
      <w:jc w:val="center"/>
    </w:pPr>
    <w:rPr>
      <w:rFonts w:ascii="Times New Roman" w:eastAsia="Times New Roman" w:hAnsi="Times New Roman" w:cs="Times New Roman"/>
      <w:smallCaps/>
      <w:kern w:val="0"/>
      <w:sz w:val="16"/>
      <w:szCs w:val="16"/>
      <w:lang w:val="en-US"/>
      <w14:ligatures w14:val="none"/>
    </w:rPr>
  </w:style>
  <w:style w:type="character" w:styleId="Refdecomentario">
    <w:name w:val="annotation reference"/>
    <w:basedOn w:val="Fuentedeprrafopredeter"/>
    <w:uiPriority w:val="99"/>
    <w:semiHidden/>
    <w:unhideWhenUsed/>
    <w:rsid w:val="009A5649"/>
    <w:rPr>
      <w:sz w:val="16"/>
      <w:szCs w:val="16"/>
    </w:rPr>
  </w:style>
  <w:style w:type="paragraph" w:styleId="Textocomentario">
    <w:name w:val="annotation text"/>
    <w:basedOn w:val="Normal"/>
    <w:link w:val="TextocomentarioCar"/>
    <w:uiPriority w:val="99"/>
    <w:semiHidden/>
    <w:unhideWhenUsed/>
    <w:rsid w:val="009A5649"/>
    <w:rPr>
      <w:sz w:val="20"/>
      <w:szCs w:val="20"/>
    </w:rPr>
  </w:style>
  <w:style w:type="character" w:customStyle="1" w:styleId="TextocomentarioCar">
    <w:name w:val="Texto comentario Car"/>
    <w:basedOn w:val="Fuentedeprrafopredeter"/>
    <w:link w:val="Textocomentario"/>
    <w:uiPriority w:val="99"/>
    <w:semiHidden/>
    <w:rsid w:val="009A5649"/>
    <w:rPr>
      <w:sz w:val="20"/>
      <w:szCs w:val="20"/>
    </w:rPr>
  </w:style>
  <w:style w:type="paragraph" w:styleId="Asuntodelcomentario">
    <w:name w:val="annotation subject"/>
    <w:basedOn w:val="Textocomentario"/>
    <w:next w:val="Textocomentario"/>
    <w:link w:val="AsuntodelcomentarioCar"/>
    <w:uiPriority w:val="99"/>
    <w:semiHidden/>
    <w:unhideWhenUsed/>
    <w:rsid w:val="009A5649"/>
    <w:rPr>
      <w:b/>
      <w:bCs/>
    </w:rPr>
  </w:style>
  <w:style w:type="character" w:customStyle="1" w:styleId="AsuntodelcomentarioCar">
    <w:name w:val="Asunto del comentario Car"/>
    <w:basedOn w:val="TextocomentarioCar"/>
    <w:link w:val="Asuntodelcomentario"/>
    <w:uiPriority w:val="99"/>
    <w:semiHidden/>
    <w:rsid w:val="009A56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100846">
      <w:bodyDiv w:val="1"/>
      <w:marLeft w:val="0"/>
      <w:marRight w:val="0"/>
      <w:marTop w:val="0"/>
      <w:marBottom w:val="0"/>
      <w:divBdr>
        <w:top w:val="none" w:sz="0" w:space="0" w:color="auto"/>
        <w:left w:val="none" w:sz="0" w:space="0" w:color="auto"/>
        <w:bottom w:val="none" w:sz="0" w:space="0" w:color="auto"/>
        <w:right w:val="none" w:sz="0" w:space="0" w:color="auto"/>
      </w:divBdr>
      <w:divsChild>
        <w:div w:id="1810587252">
          <w:marLeft w:val="0"/>
          <w:marRight w:val="0"/>
          <w:marTop w:val="0"/>
          <w:marBottom w:val="0"/>
          <w:divBdr>
            <w:top w:val="none" w:sz="0" w:space="0" w:color="auto"/>
            <w:left w:val="none" w:sz="0" w:space="0" w:color="auto"/>
            <w:bottom w:val="none" w:sz="0" w:space="0" w:color="auto"/>
            <w:right w:val="none" w:sz="0" w:space="0" w:color="auto"/>
          </w:divBdr>
          <w:divsChild>
            <w:div w:id="1655334295">
              <w:marLeft w:val="0"/>
              <w:marRight w:val="0"/>
              <w:marTop w:val="0"/>
              <w:marBottom w:val="0"/>
              <w:divBdr>
                <w:top w:val="none" w:sz="0" w:space="0" w:color="auto"/>
                <w:left w:val="none" w:sz="0" w:space="0" w:color="auto"/>
                <w:bottom w:val="none" w:sz="0" w:space="0" w:color="auto"/>
                <w:right w:val="none" w:sz="0" w:space="0" w:color="auto"/>
              </w:divBdr>
              <w:divsChild>
                <w:div w:id="5315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autor@umsnh.m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1027</Words>
  <Characters>5654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Instituto de Ciencia, Tecnología e Innovación</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Jaimes</dc:creator>
  <cp:keywords/>
  <dc:description/>
  <cp:lastModifiedBy>Omar Jaimes</cp:lastModifiedBy>
  <cp:revision>7</cp:revision>
  <cp:lastPrinted>2026-06-03T00:04:00Z</cp:lastPrinted>
  <dcterms:created xsi:type="dcterms:W3CDTF">2026-06-03T00:14:00Z</dcterms:created>
  <dcterms:modified xsi:type="dcterms:W3CDTF">2026-06-03T00:29:00Z</dcterms:modified>
</cp:coreProperties>
</file>