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0"/>
              <w:left w:type="dxa" w:w="600"/>
              <w:bottom w:type="dxa" w:w="800"/>
              <w:right w:type="dxa" w:w="600"/>
            </w:tcMar>
          </w:tcPr>
          <w:p>
            <w:pPr>
              <w:spacing w:after="100"/>
              <w:jc w:val="center"/>
            </w:pPr>
            <w:r>
              <w:rPr>
                <w:rFonts w:ascii="Arial" w:cs="Arial" w:eastAsia="Arial" w:hAnsi="Arial"/>
                <w:b/>
                <w:bCs/>
                <w:color w:val="FFFFFF"/>
                <w:sz w:val="56"/>
                <w:szCs w:val="56"/>
              </w:rPr>
              <w:t xml:space="preserve">INCUBATOR BAGUIO</w:t>
            </w:r>
          </w:p>
          <w:p>
            <w:pPr>
              <w:spacing w:after="200"/>
              <w:jc w:val="center"/>
            </w:pPr>
            <w:r>
              <w:rPr>
                <w:rFonts w:ascii="Arial" w:cs="Arial" w:eastAsia="Arial" w:hAnsi="Arial"/>
                <w:color w:val="C9973A"/>
                <w:sz w:val="28"/>
                <w:szCs w:val="28"/>
              </w:rPr>
              <w:t xml:space="preserve">Baguio City Research and Innovation Alliance</w:t>
            </w:r>
          </w:p>
          <w:p>
            <w:pPr>
              <w:pBdr>
                <w:top w:val="single" w:color="C9973A" w:sz="4" w:space="1"/>
              </w:pBdr>
              <w:spacing w:after="200" w:before="200"/>
              <w:jc w:val="center"/>
            </w:pPr>
            <w:r>
              <w:rPr>
                <w:rFonts w:ascii="Arial" w:cs="Arial" w:eastAsia="Arial" w:hAnsi="Arial"/>
                <w:sz w:val="4"/>
                <w:szCs w:val="4"/>
              </w:rPr>
              <w:t xml:space="preserve"/>
            </w:r>
          </w:p>
          <w:p>
            <w:pPr>
              <w:spacing w:after="100"/>
              <w:jc w:val="center"/>
            </w:pPr>
            <w:r>
              <w:rPr>
                <w:rFonts w:ascii="Arial" w:cs="Arial" w:eastAsia="Arial" w:hAnsi="Arial"/>
                <w:b/>
                <w:bCs/>
                <w:color w:val="C9973A"/>
                <w:sz w:val="32"/>
                <w:szCs w:val="32"/>
              </w:rPr>
              <w:t xml:space="preserve">PRODUCT REQUIREMENTS DOCUMENT</w:t>
            </w:r>
          </w:p>
          <w:p>
            <w:pPr>
              <w:spacing w:after="60"/>
              <w:jc w:val="center"/>
            </w:pPr>
            <w:r>
              <w:rPr>
                <w:rFonts w:ascii="Arial" w:cs="Arial" w:eastAsia="Arial" w:hAnsi="Arial"/>
                <w:color w:val="FFFFFF"/>
                <w:sz w:val="24"/>
                <w:szCs w:val="24"/>
              </w:rPr>
              <w:t xml:space="preserve">Official Website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Document Version</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v1.0 — Initial Release</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Date</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June 2026</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Prepared By</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Operator / Product Design Consultant</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Proponent</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City Planning, Development and Sustainability Office (CPDSO)</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Implementation Partner</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SIGLAT Youth Innovation Hub</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Legal Basis</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Ordinance No. 63, Series of 2023 (Research and Innovation Ordinance)</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Status</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DRAFT — For Review and Approval</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1"/>
              <w:left w:val="single" w:color="C9973A" w:sz="12"/>
              <w:bottom w:val="single" w:color="C9973A" w:sz="1"/>
              <w:right w:val="single" w:color="BBCDE5" w:sz="1"/>
            </w:tcBorders>
            <w:shd w:fill="EFF4FB" w:val="clear"/>
            <w:tcMar>
              <w:top w:type="dxa" w:w="120"/>
              <w:left w:type="dxa" w:w="200"/>
              <w:bottom w:type="dxa" w:w="120"/>
              <w:right w:type="dxa" w:w="200"/>
            </w:tcMar>
          </w:tcPr>
          <w:p>
            <w:pPr>
              <w:spacing w:after="80"/>
            </w:pPr>
            <w:r>
              <w:rPr>
                <w:rFonts w:ascii="Arial" w:cs="Arial" w:eastAsia="Arial" w:hAnsi="Arial"/>
                <w:b/>
                <w:bCs/>
                <w:color w:val="1B3A6B"/>
                <w:sz w:val="22"/>
                <w:szCs w:val="22"/>
              </w:rPr>
              <w:t xml:space="preserve">About This Document</w:t>
            </w:r>
          </w:p>
          <w:p>
            <w:pPr>
              <w:pStyle w:val="ListParagraph"/>
              <w:numPr>
                <w:ilvl w:val="0"/>
                <w:numId w:val="2"/>
              </w:numPr>
              <w:spacing w:after="60"/>
            </w:pPr>
            <w:r>
              <w:rPr>
                <w:rFonts w:ascii="Arial" w:cs="Arial" w:eastAsia="Arial" w:hAnsi="Arial"/>
                <w:color w:val="1A1A1A"/>
                <w:sz w:val="21"/>
                <w:szCs w:val="21"/>
              </w:rPr>
              <w:t xml:space="preserve">This PRD defines requirements for the official Incubator Baguio website — the digital face of the Baguio City Research and Innovation Alliance.</w:t>
            </w:r>
          </w:p>
          <w:p>
            <w:pPr>
              <w:pStyle w:val="ListParagraph"/>
              <w:numPr>
                <w:ilvl w:val="0"/>
                <w:numId w:val="2"/>
              </w:numPr>
              <w:spacing w:after="60"/>
            </w:pPr>
            <w:r>
              <w:rPr>
                <w:rFonts w:ascii="Arial" w:cs="Arial" w:eastAsia="Arial" w:hAnsi="Arial"/>
                <w:color w:val="1A1A1A"/>
                <w:sz w:val="21"/>
                <w:szCs w:val="21"/>
              </w:rPr>
              <w:t xml:space="preserve">It covers all functional modules, user personas, information architecture, technical requirements, and a phased delivery roadmap.</w:t>
            </w:r>
          </w:p>
          <w:p>
            <w:pPr>
              <w:pStyle w:val="ListParagraph"/>
              <w:numPr>
                <w:ilvl w:val="0"/>
                <w:numId w:val="2"/>
              </w:numPr>
              <w:spacing w:after="60"/>
            </w:pPr>
            <w:r>
              <w:rPr>
                <w:rFonts w:ascii="Arial" w:cs="Arial" w:eastAsia="Arial" w:hAnsi="Arial"/>
                <w:color w:val="1A1A1A"/>
                <w:sz w:val="21"/>
                <w:szCs w:val="21"/>
              </w:rPr>
              <w:t xml:space="preserve">All features are grounded in Ordinance No. 63 s.2023 and the Incubator Baguio Project Proposal (March–December 2026).</w:t>
            </w:r>
          </w:p>
        </w:tc>
      </w:tr>
    </w:tbl>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1. Executive Summary</w:t>
      </w:r>
    </w:p>
    <w:p>
      <w:pPr>
        <w:spacing w:after="120" w:line="300"/>
      </w:pPr>
      <w:r>
        <w:rPr>
          <w:rFonts w:ascii="Arial" w:cs="Arial" w:eastAsia="Arial" w:hAnsi="Arial"/>
          <w:color w:val="1A1A1A"/>
          <w:sz w:val="22"/>
          <w:szCs w:val="22"/>
        </w:rPr>
        <w:t xml:space="preserve">Incubator Baguio is the City Government of Baguio's primary institutional platform for startup incubation, research commercialization, and innovation convergence. Formally established under Ordinance No. 63 (Series of 2023) as the Baguio City Research and Innovation Alliance, it operates as a public-private partnership connecting city government, higher education institutions, national agencies, industry, and civil society under a quadruple helix model.</w:t>
      </w:r>
    </w:p>
    <w:p>
      <w:pPr>
        <w:spacing w:after="120"/>
      </w:pPr>
      <w:r>
        <w:t xml:space="preserve"/>
      </w:r>
    </w:p>
    <w:p>
      <w:pPr>
        <w:spacing w:after="120" w:line="300"/>
      </w:pPr>
      <w:r>
        <w:rPr>
          <w:rFonts w:ascii="Arial" w:cs="Arial" w:eastAsia="Arial" w:hAnsi="Arial"/>
          <w:color w:val="1A1A1A"/>
          <w:sz w:val="22"/>
          <w:szCs w:val="22"/>
        </w:rPr>
        <w:t xml:space="preserve">The Incubator Baguio website will serve as the platform's primary digital presence — enabling ecosystem discovery, program access, startup applications, knowledge sharing, event management, and stakeholder engagement. It must reflect the credibility of a government-mandated innovation alliance while remaining accessible and dynamic enough to attract youth, researchers, and entrepreneurs.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3A" w:sz="1"/>
              <w:left w:val="single" w:color="C9973A" w:sz="12"/>
              <w:bottom w:val="single" w:color="C9973A" w:sz="1"/>
              <w:right w:val="single" w:color="BBCDE5" w:sz="1"/>
            </w:tcBorders>
            <w:shd w:fill="EFF4FB" w:val="clear"/>
            <w:tcMar>
              <w:top w:type="dxa" w:w="120"/>
              <w:left w:type="dxa" w:w="200"/>
              <w:bottom w:type="dxa" w:w="120"/>
              <w:right w:type="dxa" w:w="200"/>
            </w:tcMar>
          </w:tcPr>
          <w:p>
            <w:pPr>
              <w:spacing w:after="80"/>
            </w:pPr>
            <w:r>
              <w:rPr>
                <w:rFonts w:ascii="Arial" w:cs="Arial" w:eastAsia="Arial" w:hAnsi="Arial"/>
                <w:b/>
                <w:bCs/>
                <w:color w:val="1B3A6B"/>
                <w:sz w:val="22"/>
                <w:szCs w:val="22"/>
              </w:rPr>
              <w:t xml:space="preserve">Key Goals of the Website</w:t>
            </w:r>
          </w:p>
          <w:p>
            <w:pPr>
              <w:pStyle w:val="ListParagraph"/>
              <w:numPr>
                <w:ilvl w:val="0"/>
                <w:numId w:val="2"/>
              </w:numPr>
              <w:spacing w:after="60"/>
            </w:pPr>
            <w:r>
              <w:rPr>
                <w:rFonts w:ascii="Arial" w:cs="Arial" w:eastAsia="Arial" w:hAnsi="Arial"/>
                <w:color w:val="1A1A1A"/>
                <w:sz w:val="21"/>
                <w:szCs w:val="21"/>
              </w:rPr>
              <w:t xml:space="preserve">Establish Incubator Baguio's institutional legitimacy and public trust</w:t>
            </w:r>
          </w:p>
          <w:p>
            <w:pPr>
              <w:pStyle w:val="ListParagraph"/>
              <w:numPr>
                <w:ilvl w:val="0"/>
                <w:numId w:val="2"/>
              </w:numPr>
              <w:spacing w:after="60"/>
            </w:pPr>
            <w:r>
              <w:rPr>
                <w:rFonts w:ascii="Arial" w:cs="Arial" w:eastAsia="Arial" w:hAnsi="Arial"/>
                <w:color w:val="1A1A1A"/>
                <w:sz w:val="21"/>
                <w:szCs w:val="21"/>
              </w:rPr>
              <w:t xml:space="preserve">Provide clear pathways for startups, researchers, and partners to engage</w:t>
            </w:r>
          </w:p>
          <w:p>
            <w:pPr>
              <w:pStyle w:val="ListParagraph"/>
              <w:numPr>
                <w:ilvl w:val="0"/>
                <w:numId w:val="2"/>
              </w:numPr>
              <w:spacing w:after="60"/>
            </w:pPr>
            <w:r>
              <w:rPr>
                <w:rFonts w:ascii="Arial" w:cs="Arial" w:eastAsia="Arial" w:hAnsi="Arial"/>
                <w:color w:val="1A1A1A"/>
                <w:sz w:val="21"/>
                <w:szCs w:val="21"/>
              </w:rPr>
              <w:t xml:space="preserve">Host the centralized innovation database mandated by Ordinance Sec. 9</w:t>
            </w:r>
          </w:p>
          <w:p>
            <w:pPr>
              <w:pStyle w:val="ListParagraph"/>
              <w:numPr>
                <w:ilvl w:val="0"/>
                <w:numId w:val="2"/>
              </w:numPr>
              <w:spacing w:after="60"/>
            </w:pPr>
            <w:r>
              <w:rPr>
                <w:rFonts w:ascii="Arial" w:cs="Arial" w:eastAsia="Arial" w:hAnsi="Arial"/>
                <w:color w:val="1A1A1A"/>
                <w:sz w:val="21"/>
                <w:szCs w:val="21"/>
              </w:rPr>
              <w:t xml:space="preserve">Drive registrations for all Incubator Baguio programs and events</w:t>
            </w:r>
          </w:p>
          <w:p>
            <w:pPr>
              <w:pStyle w:val="ListParagraph"/>
              <w:numPr>
                <w:ilvl w:val="0"/>
                <w:numId w:val="2"/>
              </w:numPr>
              <w:spacing w:after="60"/>
            </w:pPr>
            <w:r>
              <w:rPr>
                <w:rFonts w:ascii="Arial" w:cs="Arial" w:eastAsia="Arial" w:hAnsi="Arial"/>
                <w:color w:val="1A1A1A"/>
                <w:sz w:val="21"/>
                <w:szCs w:val="21"/>
              </w:rPr>
              <w:t xml:space="preserve">Serve as a living knowledge repository for the Baguio innovation ecosystem</w:t>
            </w:r>
          </w:p>
          <w:p>
            <w:pPr>
              <w:pStyle w:val="ListParagraph"/>
              <w:numPr>
                <w:ilvl w:val="0"/>
                <w:numId w:val="2"/>
              </w:numPr>
              <w:spacing w:after="60"/>
            </w:pPr>
            <w:r>
              <w:rPr>
                <w:rFonts w:ascii="Arial" w:cs="Arial" w:eastAsia="Arial" w:hAnsi="Arial"/>
                <w:color w:val="1A1A1A"/>
                <w:sz w:val="21"/>
                <w:szCs w:val="21"/>
              </w:rPr>
              <w:t xml:space="preserve">Position Baguio City as Northern Luzon's leading innovation hub</w:t>
            </w:r>
          </w:p>
        </w:tc>
      </w:tr>
    </w:tbl>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2. Product Overview</w:t>
      </w:r>
    </w:p>
    <w:p>
      <w:pPr>
        <w:pStyle w:val="Heading2"/>
        <w:spacing w:after="100" w:before="280"/>
      </w:pPr>
      <w:r>
        <w:rPr>
          <w:rFonts w:ascii="Arial" w:cs="Arial" w:eastAsia="Arial" w:hAnsi="Arial"/>
          <w:b/>
          <w:bCs/>
          <w:color w:val="1B3A6B"/>
          <w:sz w:val="28"/>
          <w:szCs w:val="28"/>
        </w:rPr>
        <w:t xml:space="preserve">2.1 Vision</w:t>
      </w:r>
    </w:p>
    <w:p>
      <w:pPr>
        <w:spacing w:after="120" w:line="300"/>
      </w:pPr>
      <w:r>
        <w:rPr>
          <w:rFonts w:ascii="Arial" w:cs="Arial" w:eastAsia="Arial" w:hAnsi="Arial"/>
          <w:color w:val="1A1A1A"/>
          <w:sz w:val="22"/>
          <w:szCs w:val="22"/>
        </w:rPr>
        <w:t xml:space="preserve">"A dynamic, inclusive, and authoritative digital platform that connects innovators, researchers, startups, and city stakeholders — transforming Baguio's intellectual capital into economic and social value."</w:t>
      </w:r>
    </w:p>
    <w:p>
      <w:pPr>
        <w:spacing w:after="120"/>
      </w:pPr>
      <w:r>
        <w:t xml:space="preserve"/>
      </w:r>
    </w:p>
    <w:p>
      <w:pPr>
        <w:pStyle w:val="Heading2"/>
        <w:spacing w:after="100" w:before="280"/>
      </w:pPr>
      <w:r>
        <w:rPr>
          <w:rFonts w:ascii="Arial" w:cs="Arial" w:eastAsia="Arial" w:hAnsi="Arial"/>
          <w:b/>
          <w:bCs/>
          <w:color w:val="1B3A6B"/>
          <w:sz w:val="28"/>
          <w:szCs w:val="28"/>
        </w:rPr>
        <w:t xml:space="preserve">2.2 Mission Alignment</w:t>
      </w:r>
    </w:p>
    <w:p>
      <w:pPr>
        <w:spacing w:after="120" w:line="300"/>
      </w:pPr>
      <w:r>
        <w:rPr>
          <w:rFonts w:ascii="Arial" w:cs="Arial" w:eastAsia="Arial" w:hAnsi="Arial"/>
          <w:color w:val="1A1A1A"/>
          <w:sz w:val="22"/>
          <w:szCs w:val="22"/>
        </w:rPr>
        <w:t xml:space="preserve">The website directly supports the following institutional mandates: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Source</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Mandate &amp; Website Implication</w:t>
            </w:r>
          </w:p>
        </w:tc>
      </w:tr>
      <w:tr>
        <w:tc>
          <w:tcPr>
            <w:tcW w:type="dxa" w:w="30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Ordinance 63, Sec. 9</w:t>
            </w:r>
          </w:p>
        </w:tc>
        <w:tc>
          <w:tcPr>
            <w:tcW w:type="dxa" w:w="6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Centralized database of researches and innovations — must be publicly accessible to all alliance members</w:t>
            </w:r>
          </w:p>
        </w:tc>
      </w:tr>
      <w:tr>
        <w:tc>
          <w:tcPr>
            <w:tcW w:type="dxa" w:w="30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Ordinance 63, Sec. 15</w:t>
            </w:r>
          </w:p>
        </w:tc>
        <w:tc>
          <w:tcPr>
            <w:tcW w:type="dxa" w:w="6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Annual City Research Forum — website must manage submissions, registrations, and showcase outputs</w:t>
            </w:r>
          </w:p>
        </w:tc>
      </w:tr>
      <w:tr>
        <w:tc>
          <w:tcPr>
            <w:tcW w:type="dxa" w:w="30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Ordinance 63, Sec. 16</w:t>
            </w:r>
          </w:p>
        </w:tc>
        <w:tc>
          <w:tcPr>
            <w:tcW w:type="dxa" w:w="6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Annual Innovation Camp — website must handle applications and participant management</w:t>
            </w:r>
          </w:p>
        </w:tc>
      </w:tr>
      <w:tr>
        <w:tc>
          <w:tcPr>
            <w:tcW w:type="dxa" w:w="30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Ordinance 63, Sec. 17</w:t>
            </w:r>
          </w:p>
        </w:tc>
        <w:tc>
          <w:tcPr>
            <w:tcW w:type="dxa" w:w="6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Startup Week (3rd week of April) — dedicated event hub and registration portal</w:t>
            </w:r>
          </w:p>
        </w:tc>
      </w:tr>
      <w:tr>
        <w:tc>
          <w:tcPr>
            <w:tcW w:type="dxa" w:w="30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Project Proposal, Strategy 6</w:t>
            </w:r>
          </w:p>
        </w:tc>
        <w:tc>
          <w:tcPr>
            <w:tcW w:type="dxa" w:w="6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Online platform for innovation resource sharing — serves as the primary delivery mechanism</w:t>
            </w:r>
          </w:p>
        </w:tc>
      </w:tr>
      <w:tr>
        <w:tc>
          <w:tcPr>
            <w:tcW w:type="dxa" w:w="30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Project Proposal, Sec. VII</w:t>
            </w:r>
          </w:p>
        </w:tc>
        <w:tc>
          <w:tcPr>
            <w:tcW w:type="dxa" w:w="6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Knowledge management and documentation — case studies, quarterly innovation reports, annual ecosystem assessments</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2.3 Product Scope</w:t>
      </w:r>
    </w:p>
    <w:p>
      <w:pPr>
        <w:spacing w:after="120" w:line="300"/>
      </w:pPr>
      <w:r>
        <w:rPr>
          <w:rFonts w:ascii="Arial" w:cs="Arial" w:eastAsia="Arial" w:hAnsi="Arial"/>
          <w:color w:val="1A1A1A"/>
          <w:sz w:val="22"/>
          <w:szCs w:val="22"/>
        </w:rPr>
        <w:t xml:space="preserve">The website covers the following functional domains:</w:t>
      </w:r>
    </w:p>
    <w:p>
      <w:pPr>
        <w:pStyle w:val="ListParagraph"/>
        <w:numPr>
          <w:ilvl w:val="0"/>
          <w:numId w:val="2"/>
        </w:numPr>
        <w:spacing w:after="80"/>
      </w:pPr>
      <w:r>
        <w:rPr>
          <w:rFonts w:ascii="Arial" w:cs="Arial" w:eastAsia="Arial" w:hAnsi="Arial"/>
          <w:color w:val="1A1A1A"/>
          <w:sz w:val="22"/>
          <w:szCs w:val="22"/>
        </w:rPr>
        <w:t xml:space="preserve">Public-facing institutional presence and program information</w:t>
      </w:r>
    </w:p>
    <w:p>
      <w:pPr>
        <w:pStyle w:val="ListParagraph"/>
        <w:numPr>
          <w:ilvl w:val="0"/>
          <w:numId w:val="2"/>
        </w:numPr>
        <w:spacing w:after="80"/>
      </w:pPr>
      <w:r>
        <w:rPr>
          <w:rFonts w:ascii="Arial" w:cs="Arial" w:eastAsia="Arial" w:hAnsi="Arial"/>
          <w:color w:val="1A1A1A"/>
          <w:sz w:val="22"/>
          <w:szCs w:val="22"/>
        </w:rPr>
        <w:t xml:space="preserve">Application portals for startups, researchers, mentors, and partners</w:t>
      </w:r>
    </w:p>
    <w:p>
      <w:pPr>
        <w:pStyle w:val="ListParagraph"/>
        <w:numPr>
          <w:ilvl w:val="0"/>
          <w:numId w:val="2"/>
        </w:numPr>
        <w:spacing w:after="80"/>
      </w:pPr>
      <w:r>
        <w:rPr>
          <w:rFonts w:ascii="Arial" w:cs="Arial" w:eastAsia="Arial" w:hAnsi="Arial"/>
          <w:color w:val="1A1A1A"/>
          <w:sz w:val="22"/>
          <w:szCs w:val="22"/>
        </w:rPr>
        <w:t xml:space="preserve">Centralized knowledge and research database (innovation repository)</w:t>
      </w:r>
    </w:p>
    <w:p>
      <w:pPr>
        <w:pStyle w:val="ListParagraph"/>
        <w:numPr>
          <w:ilvl w:val="0"/>
          <w:numId w:val="2"/>
        </w:numPr>
        <w:spacing w:after="80"/>
      </w:pPr>
      <w:r>
        <w:rPr>
          <w:rFonts w:ascii="Arial" w:cs="Arial" w:eastAsia="Arial" w:hAnsi="Arial"/>
          <w:color w:val="1A1A1A"/>
          <w:sz w:val="22"/>
          <w:szCs w:val="22"/>
        </w:rPr>
        <w:t xml:space="preserve">Events management and registration (Innovation Camp, Research Forum, Startup Week, Hackathons, Workshops)</w:t>
      </w:r>
    </w:p>
    <w:p>
      <w:pPr>
        <w:pStyle w:val="ListParagraph"/>
        <w:numPr>
          <w:ilvl w:val="0"/>
          <w:numId w:val="2"/>
        </w:numPr>
        <w:spacing w:after="80"/>
      </w:pPr>
      <w:r>
        <w:rPr>
          <w:rFonts w:ascii="Arial" w:cs="Arial" w:eastAsia="Arial" w:hAnsi="Arial"/>
          <w:color w:val="1A1A1A"/>
          <w:sz w:val="22"/>
          <w:szCs w:val="22"/>
        </w:rPr>
        <w:t xml:space="preserve">Startup portfolio and ecosystem directory</w:t>
      </w:r>
    </w:p>
    <w:p>
      <w:pPr>
        <w:pStyle w:val="ListParagraph"/>
        <w:numPr>
          <w:ilvl w:val="0"/>
          <w:numId w:val="2"/>
        </w:numPr>
        <w:spacing w:after="80"/>
      </w:pPr>
      <w:r>
        <w:rPr>
          <w:rFonts w:ascii="Arial" w:cs="Arial" w:eastAsia="Arial" w:hAnsi="Arial"/>
          <w:color w:val="1A1A1A"/>
          <w:sz w:val="22"/>
          <w:szCs w:val="22"/>
        </w:rPr>
        <w:t xml:space="preserve">News, media, publications, and annual reporting</w:t>
      </w:r>
    </w:p>
    <w:p>
      <w:pPr>
        <w:pStyle w:val="ListParagraph"/>
        <w:numPr>
          <w:ilvl w:val="0"/>
          <w:numId w:val="2"/>
        </w:numPr>
        <w:spacing w:after="80"/>
      </w:pPr>
      <w:r>
        <w:rPr>
          <w:rFonts w:ascii="Arial" w:cs="Arial" w:eastAsia="Arial" w:hAnsi="Arial"/>
          <w:color w:val="1A1A1A"/>
          <w:sz w:val="22"/>
          <w:szCs w:val="22"/>
        </w:rPr>
        <w:t xml:space="preserve">Internal admin portal for staff and program managers</w:t>
      </w:r>
    </w:p>
    <w:p>
      <w:pPr>
        <w:spacing w:after="120"/>
      </w:pPr>
      <w:r>
        <w:t xml:space="preserve"/>
      </w:r>
    </w:p>
    <w:p>
      <w:pPr>
        <w:pStyle w:val="Heading2"/>
        <w:spacing w:after="100" w:before="280"/>
      </w:pPr>
      <w:r>
        <w:rPr>
          <w:rFonts w:ascii="Arial" w:cs="Arial" w:eastAsia="Arial" w:hAnsi="Arial"/>
          <w:b/>
          <w:bCs/>
          <w:color w:val="1B3A6B"/>
          <w:sz w:val="28"/>
          <w:szCs w:val="28"/>
        </w:rPr>
        <w:t xml:space="preserve">2.4 Out of Scope (Phase 1)</w:t>
      </w:r>
    </w:p>
    <w:p>
      <w:pPr>
        <w:pStyle w:val="ListParagraph"/>
        <w:numPr>
          <w:ilvl w:val="0"/>
          <w:numId w:val="2"/>
        </w:numPr>
        <w:spacing w:after="80"/>
      </w:pPr>
      <w:r>
        <w:rPr>
          <w:rFonts w:ascii="Arial" w:cs="Arial" w:eastAsia="Arial" w:hAnsi="Arial"/>
          <w:color w:val="1A1A1A"/>
          <w:sz w:val="22"/>
          <w:szCs w:val="22"/>
        </w:rPr>
        <w:t xml:space="preserve">Real-time chat or messaging between users</w:t>
      </w:r>
    </w:p>
    <w:p>
      <w:pPr>
        <w:pStyle w:val="ListParagraph"/>
        <w:numPr>
          <w:ilvl w:val="0"/>
          <w:numId w:val="2"/>
        </w:numPr>
        <w:spacing w:after="80"/>
      </w:pPr>
      <w:r>
        <w:rPr>
          <w:rFonts w:ascii="Arial" w:cs="Arial" w:eastAsia="Arial" w:hAnsi="Arial"/>
          <w:color w:val="1A1A1A"/>
          <w:sz w:val="22"/>
          <w:szCs w:val="22"/>
        </w:rPr>
        <w:t xml:space="preserve">Payment processing for program fees</w:t>
      </w:r>
    </w:p>
    <w:p>
      <w:pPr>
        <w:pStyle w:val="ListParagraph"/>
        <w:numPr>
          <w:ilvl w:val="0"/>
          <w:numId w:val="2"/>
        </w:numPr>
        <w:spacing w:after="80"/>
      </w:pPr>
      <w:r>
        <w:rPr>
          <w:rFonts w:ascii="Arial" w:cs="Arial" w:eastAsia="Arial" w:hAnsi="Arial"/>
          <w:color w:val="1A1A1A"/>
          <w:sz w:val="22"/>
          <w:szCs w:val="22"/>
        </w:rPr>
        <w:t xml:space="preserve">Mobile application (separate project)</w:t>
      </w:r>
    </w:p>
    <w:p>
      <w:pPr>
        <w:pStyle w:val="ListParagraph"/>
        <w:numPr>
          <w:ilvl w:val="0"/>
          <w:numId w:val="2"/>
        </w:numPr>
        <w:spacing w:after="80"/>
      </w:pPr>
      <w:r>
        <w:rPr>
          <w:rFonts w:ascii="Arial" w:cs="Arial" w:eastAsia="Arial" w:hAnsi="Arial"/>
          <w:color w:val="1A1A1A"/>
          <w:sz w:val="22"/>
          <w:szCs w:val="22"/>
        </w:rPr>
        <w:t xml:space="preserve">Internal ERP or HR systems integration</w:t>
      </w:r>
    </w:p>
    <w:p>
      <w:pPr>
        <w:pStyle w:val="ListParagraph"/>
        <w:numPr>
          <w:ilvl w:val="0"/>
          <w:numId w:val="2"/>
        </w:numPr>
        <w:spacing w:after="80"/>
      </w:pPr>
      <w:r>
        <w:rPr>
          <w:rFonts w:ascii="Arial" w:cs="Arial" w:eastAsia="Arial" w:hAnsi="Arial"/>
          <w:color w:val="1A1A1A"/>
          <w:sz w:val="22"/>
          <w:szCs w:val="22"/>
        </w:rPr>
        <w:t xml:space="preserve">Live-streaming infrastructure (use third-party embed)</w:t>
      </w:r>
    </w:p>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3. Institutional &amp; Legal Context</w:t>
      </w:r>
    </w:p>
    <w:p>
      <w:pPr>
        <w:pStyle w:val="Heading2"/>
        <w:spacing w:after="100" w:before="280"/>
      </w:pPr>
      <w:r>
        <w:rPr>
          <w:rFonts w:ascii="Arial" w:cs="Arial" w:eastAsia="Arial" w:hAnsi="Arial"/>
          <w:b/>
          <w:bCs/>
          <w:color w:val="1B3A6B"/>
          <w:sz w:val="28"/>
          <w:szCs w:val="28"/>
        </w:rPr>
        <w:t xml:space="preserve">3.1 Ordinance No. 63, Series of 2023</w:t>
      </w:r>
    </w:p>
    <w:p>
      <w:pPr>
        <w:spacing w:after="120" w:line="300"/>
      </w:pPr>
      <w:r>
        <w:rPr>
          <w:rFonts w:ascii="Arial" w:cs="Arial" w:eastAsia="Arial" w:hAnsi="Arial"/>
          <w:color w:val="1A1A1A"/>
          <w:sz w:val="22"/>
          <w:szCs w:val="22"/>
        </w:rPr>
        <w:t xml:space="preserve">The "Research and Innovation Ordinance of the City of Baguio" is the legal foundation of Incubator Baguio. Key provisions with direct website implications: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Section</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Provision</w:t>
            </w:r>
          </w:p>
        </w:tc>
        <w:tc>
          <w:tcPr>
            <w:tcW w:type="dxa" w:w="4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Website Feature Required</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5</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Incubator Baguio Alliance Composition</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Partner/Alliance Directory page with member profiles</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7</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Intellectual Property Policy</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IP Policy page, IP filing resources, researcher guidance</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8</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Functions of the Alliance</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Programs and services pages mapping to each function</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9</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Centralized Database under CPDSO</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&amp; Innovation Database (searchable, access-controlled)</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10</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Priority Research Areas (a–m)</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 tracks and call-for-proposals aligned to SDG areas</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12</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&amp; Business Incubators</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Incubation Program page, application portal</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14</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Student Research Initiatives</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HEI research endorsement form, student application track</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15</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Annual City Research Forum</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Forum page, paper submission portal, archive</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16</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Annual Innovation Camp</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Camp page, registration form, challenge briefs</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17</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Startup Week (3rd week of April)</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Week microsite/hub, event calendar, pitch registration</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18</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Fund (Php 3,000,000)</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Funding opportunities page, grant information</w:t>
            </w:r>
          </w:p>
        </w:tc>
      </w:tr>
      <w:tr>
        <w:tc>
          <w:tcPr>
            <w:tcW w:type="dxa" w:w="1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 19</w:t>
            </w:r>
          </w:p>
        </w:tc>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Recognition to HEIs &amp; Industries</w:t>
            </w:r>
          </w:p>
        </w:tc>
        <w:tc>
          <w:tcPr>
            <w:tcW w:type="dxa" w:w="49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Awards/recognition page, honoree profiles</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3.2 Governance Structure</w:t>
      </w:r>
    </w:p>
    <w:p>
      <w:pPr>
        <w:spacing w:after="120" w:line="300"/>
      </w:pPr>
      <w:r>
        <w:rPr>
          <w:rFonts w:ascii="Arial" w:cs="Arial" w:eastAsia="Arial" w:hAnsi="Arial"/>
          <w:color w:val="1A1A1A"/>
          <w:sz w:val="22"/>
          <w:szCs w:val="22"/>
        </w:rPr>
        <w:t xml:space="preserve">The website must reflect the official governance hierarchy:</w:t>
      </w:r>
    </w:p>
    <w:p>
      <w:pPr>
        <w:pStyle w:val="ListParagraph"/>
        <w:numPr>
          <w:ilvl w:val="0"/>
          <w:numId w:val="2"/>
        </w:numPr>
        <w:spacing w:after="80"/>
      </w:pPr>
      <w:r>
        <w:rPr>
          <w:rFonts w:ascii="Arial" w:cs="Arial" w:eastAsia="Arial" w:hAnsi="Arial"/>
          <w:color w:val="1A1A1A"/>
          <w:sz w:val="22"/>
          <w:szCs w:val="22"/>
        </w:rPr>
        <w:t xml:space="preserve">Convenor: City Mayor (City Government of Baguio)</w:t>
      </w:r>
    </w:p>
    <w:p>
      <w:pPr>
        <w:pStyle w:val="ListParagraph"/>
        <w:numPr>
          <w:ilvl w:val="0"/>
          <w:numId w:val="2"/>
        </w:numPr>
        <w:spacing w:after="80"/>
      </w:pPr>
      <w:r>
        <w:rPr>
          <w:rFonts w:ascii="Arial" w:cs="Arial" w:eastAsia="Arial" w:hAnsi="Arial"/>
          <w:color w:val="1A1A1A"/>
          <w:sz w:val="22"/>
          <w:szCs w:val="22"/>
        </w:rPr>
        <w:t xml:space="preserve">Co-Convenor: City Planning and Development Coordinator (CPDSO)</w:t>
      </w:r>
    </w:p>
    <w:p>
      <w:pPr>
        <w:pStyle w:val="ListParagraph"/>
        <w:numPr>
          <w:ilvl w:val="0"/>
          <w:numId w:val="2"/>
        </w:numPr>
        <w:spacing w:after="80"/>
      </w:pPr>
      <w:r>
        <w:rPr>
          <w:rFonts w:ascii="Arial" w:cs="Arial" w:eastAsia="Arial" w:hAnsi="Arial"/>
          <w:color w:val="1A1A1A"/>
          <w:sz w:val="22"/>
          <w:szCs w:val="22"/>
        </w:rPr>
        <w:t xml:space="preserve">HEI Partners: Baguio Central University, Saint Louis University, University of Baguio, University of the Cordilleras, University of the Philippines-Baguio</w:t>
      </w:r>
    </w:p>
    <w:p>
      <w:pPr>
        <w:pStyle w:val="ListParagraph"/>
        <w:numPr>
          <w:ilvl w:val="0"/>
          <w:numId w:val="2"/>
        </w:numPr>
        <w:spacing w:after="80"/>
      </w:pPr>
      <w:r>
        <w:rPr>
          <w:rFonts w:ascii="Arial" w:cs="Arial" w:eastAsia="Arial" w:hAnsi="Arial"/>
          <w:color w:val="1A1A1A"/>
          <w:sz w:val="22"/>
          <w:szCs w:val="22"/>
        </w:rPr>
        <w:t xml:space="preserve">National Agency Partners: CHED, DOST, IPO, DTI, DepEd, DICT, NEDA, PEZA, TESDA</w:t>
      </w:r>
    </w:p>
    <w:p>
      <w:pPr>
        <w:pStyle w:val="ListParagraph"/>
        <w:numPr>
          <w:ilvl w:val="0"/>
          <w:numId w:val="2"/>
        </w:numPr>
        <w:spacing w:after="80"/>
      </w:pPr>
      <w:r>
        <w:rPr>
          <w:rFonts w:ascii="Arial" w:cs="Arial" w:eastAsia="Arial" w:hAnsi="Arial"/>
          <w:color w:val="1A1A1A"/>
          <w:sz w:val="22"/>
          <w:szCs w:val="22"/>
        </w:rPr>
        <w:t xml:space="preserve">Other Members: PCCI, Baguio City Library, VIVITA Philippines, MSME/Business Representatives, TARAKI</w:t>
      </w:r>
    </w:p>
    <w:p>
      <w:pPr>
        <w:spacing w:after="120"/>
      </w:pPr>
      <w:r>
        <w:t xml:space="preserve"/>
      </w:r>
    </w:p>
    <w:p>
      <w:pPr>
        <w:pStyle w:val="Heading2"/>
        <w:spacing w:after="100" w:before="280"/>
      </w:pPr>
      <w:r>
        <w:rPr>
          <w:rFonts w:ascii="Arial" w:cs="Arial" w:eastAsia="Arial" w:hAnsi="Arial"/>
          <w:b/>
          <w:bCs/>
          <w:color w:val="1B3A6B"/>
          <w:sz w:val="28"/>
          <w:szCs w:val="28"/>
        </w:rPr>
        <w:t xml:space="preserve">3.3 Project Implementation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Implementation Period</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March 2026 – December 2026</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Project Budget</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Php 3,000,000 (1st Supplemental AIP 2026)</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Program Targets</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500+ youth (Innovation Camp), 200+ (Research Forum), 10+ startups (Startup Week), 5-10 startups enrolled in incubation, 50+ stakeholders engaged</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Key Events</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1 Innovation Camp, 1 Annual City Research Forum, 1 Innovation Startup Week, 5 Hackathons/Design Sprints, 10 Workshops, 20+ Mentoring Sessions</w:t>
            </w:r>
          </w:p>
        </w:tc>
      </w:tr>
      <w:tr>
        <w:tc>
          <w:tcPr>
            <w:tcW w:type="dxa" w:w="28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Partnership Target</w:t>
            </w:r>
          </w:p>
        </w:tc>
        <w:tc>
          <w:tcPr>
            <w:tcW w:type="dxa" w:w="6560"/>
            <w:tcBorders>
              <w:top w:val="single" w:color="BBCDE5" w:sz="1"/>
              <w:left w:val="single" w:color="BBCDE5" w:sz="1"/>
              <w:bottom w:val="single" w:color="BBCDE5" w:sz="1"/>
              <w:right w:val="single" w:color="BBCDE5" w:sz="1"/>
            </w:tcBorders>
            <w:shd w:fill="FFFFFF"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10+ formal MOAs with HEIs, industry, and CSOs</w:t>
            </w:r>
          </w:p>
        </w:tc>
      </w:tr>
    </w:tbl>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4. User Personas</w:t>
      </w:r>
    </w:p>
    <w:p>
      <w:pPr>
        <w:pStyle w:val="Heading2"/>
        <w:spacing w:after="100" w:before="280"/>
      </w:pPr>
      <w:r>
        <w:rPr>
          <w:rFonts w:ascii="Arial" w:cs="Arial" w:eastAsia="Arial" w:hAnsi="Arial"/>
          <w:b/>
          <w:bCs/>
          <w:color w:val="1B3A6B"/>
          <w:sz w:val="28"/>
          <w:szCs w:val="28"/>
        </w:rPr>
        <w:t xml:space="preserve">4.1 Primary Users</w:t>
      </w:r>
    </w:p>
    <w:p>
      <w:pPr>
        <w:pStyle w:val="Heading3"/>
        <w:spacing w:after="80" w:before="200"/>
      </w:pPr>
      <w:r>
        <w:rPr>
          <w:rFonts w:ascii="Arial" w:cs="Arial" w:eastAsia="Arial" w:hAnsi="Arial"/>
          <w:b/>
          <w:bCs/>
          <w:color w:val="2E7D6F"/>
          <w:sz w:val="24"/>
          <w:szCs w:val="24"/>
        </w:rPr>
        <w:t xml:space="preserve">Persona 1: The Startup Founder / Technoprenuer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Who</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Early-stage startup founder or technoprenuer from Baguio or Cordillera region</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Goals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Apply for incubation, access mentors, find funding, validate business model, pitch to investors</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Pain Points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Unclear application processes, limited access to mentors and networks, no local funding pathways</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Website Needs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Clear incubation program info, online application form, mentor directory, funding resources, startup community</w:t>
            </w:r>
          </w:p>
        </w:tc>
      </w:tr>
    </w:tbl>
    <w:p>
      <w:pPr>
        <w:spacing w:after="120"/>
      </w:pPr>
      <w:r>
        <w:t xml:space="preserve"/>
      </w:r>
    </w:p>
    <w:p>
      <w:pPr>
        <w:pStyle w:val="Heading3"/>
        <w:spacing w:after="80" w:before="200"/>
      </w:pPr>
      <w:r>
        <w:rPr>
          <w:rFonts w:ascii="Arial" w:cs="Arial" w:eastAsia="Arial" w:hAnsi="Arial"/>
          <w:b/>
          <w:bCs/>
          <w:color w:val="2E7D6F"/>
          <w:sz w:val="24"/>
          <w:szCs w:val="24"/>
        </w:rPr>
        <w:t xml:space="preserve">Persona 2: The Youth Innovator /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Who</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College or senior high school student with innovative ideas, from Baguio HEIs</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Goals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Join Innovation Camp, participate in hackathons, develop prototypes, explore entrepreneurship</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Pain Points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Doesn't know where to start, limited awareness of programs, no platform to showcase ideas</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Website Needs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Simple event registration, youth-friendly content, challenges and competitions, idea submission, portfolio display</w:t>
            </w:r>
          </w:p>
        </w:tc>
      </w:tr>
    </w:tbl>
    <w:p>
      <w:pPr>
        <w:spacing w:after="120"/>
      </w:pPr>
      <w:r>
        <w:t xml:space="preserve"/>
      </w:r>
    </w:p>
    <w:p>
      <w:pPr>
        <w:pStyle w:val="Heading3"/>
        <w:spacing w:after="80" w:before="200"/>
      </w:pPr>
      <w:r>
        <w:rPr>
          <w:rFonts w:ascii="Arial" w:cs="Arial" w:eastAsia="Arial" w:hAnsi="Arial"/>
          <w:b/>
          <w:bCs/>
          <w:color w:val="2E7D6F"/>
          <w:sz w:val="24"/>
          <w:szCs w:val="24"/>
        </w:rPr>
        <w:t xml:space="preserve">Persona 3: The Researcher / Faculty Innovator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Who</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University faculty, researcher, or PhD student from Baguio or Cordillera HEIs</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Goals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Submit research to the city's innovation database, present at Research Forum, commercialize outputs, access IP support</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Pain Points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stays in journals with no real-world impact, no tech transfer pathways, limited IP guidance</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Website Needs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submission portal, IP resources, tech transfer info, Research Forum registration, knowledge database</w:t>
            </w:r>
          </w:p>
        </w:tc>
      </w:tr>
    </w:tbl>
    <w:p>
      <w:pPr>
        <w:spacing w:after="120"/>
      </w:pPr>
      <w:r>
        <w:t xml:space="preserve"/>
      </w:r>
    </w:p>
    <w:p>
      <w:pPr>
        <w:pStyle w:val="Heading3"/>
        <w:spacing w:after="80" w:before="200"/>
      </w:pPr>
      <w:r>
        <w:rPr>
          <w:rFonts w:ascii="Arial" w:cs="Arial" w:eastAsia="Arial" w:hAnsi="Arial"/>
          <w:b/>
          <w:bCs/>
          <w:color w:val="2E7D6F"/>
          <w:sz w:val="24"/>
          <w:szCs w:val="24"/>
        </w:rPr>
        <w:t xml:space="preserve">Persona 4: The MSME Owner / Industry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Who</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Small business owner or corporate executive seeking innovation partnerships or talent</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Goals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Co-develop products with startups, sponsor events, access research outputs, recruit innovative talent</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Pain Points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No clear entry point to the innovation ecosystem, difficulty finding credible startup partners</w:t>
            </w:r>
          </w:p>
        </w:tc>
      </w:tr>
      <w:tr>
        <w:tc>
          <w:tcPr>
            <w:tcW w:type="dxa" w:w="25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Website Needs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Partnership inquiry form, startup portfolio, innovation database, sponsorship opportunities, ecosystem map</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4.2 Secondary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Persona</w:t>
            </w:r>
          </w:p>
        </w:tc>
        <w:tc>
          <w:tcPr>
            <w:tcW w:type="dxa" w:w="31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Primary Use</w:t>
            </w:r>
          </w:p>
        </w:tc>
        <w:tc>
          <w:tcPr>
            <w:tcW w:type="dxa" w:w="31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Key Need</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National Agency Representatives (DOST, DTI, CHED, etc.)</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Monitor alignment with national programs, co-endorse initiatives</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Policy alignment reports, annual updates</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Mentor / Innovation Expert</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Register as mentor, track mentee startups</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Mentor profile, session booking</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Investor / Funder</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Discover investment-ready startups</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portfolio, Demo Day registration</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City Government Policymaker</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Access research-backed policy inputs</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Publications, policy briefs, innovation reports</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General Public / Media</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Learn about Incubator Baguio's impact</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News, events, impact stories, contact</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International Partner</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Explore collaboration with Baguio innovation ecosystem</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About, ecosystem overview, contact</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4.3 Admin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Role</w:t>
            </w:r>
          </w:p>
        </w:tc>
        <w:tc>
          <w:tcPr>
            <w:tcW w:type="dxa" w:w="31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Responsibilities</w:t>
            </w:r>
          </w:p>
        </w:tc>
        <w:tc>
          <w:tcPr>
            <w:tcW w:type="dxa" w:w="31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Access Level</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Super Admin (CPDSO)</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Full platform management, user roles, settings</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Full Access</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 Manager</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Manage incubation cohorts, event logistics, applications</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Programs + Events</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Content Editor</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Publish news, update pages, manage media</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Content Only</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Database Curator</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Approve and tag research submissions, manage knowledge hub</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Knowledge Hub</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Partnership Officer</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Manage MOA tracking, partner profiles, ecosystem map</w:t>
            </w:r>
          </w:p>
        </w:tc>
        <w:tc>
          <w:tcPr>
            <w:tcW w:type="dxa" w:w="3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Partners + Ecosystem</w:t>
            </w:r>
          </w:p>
        </w:tc>
      </w:tr>
    </w:tbl>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5. Information Architecture</w:t>
      </w:r>
    </w:p>
    <w:p>
      <w:pPr>
        <w:pStyle w:val="Heading2"/>
        <w:spacing w:after="100" w:before="280"/>
      </w:pPr>
      <w:r>
        <w:rPr>
          <w:rFonts w:ascii="Arial" w:cs="Arial" w:eastAsia="Arial" w:hAnsi="Arial"/>
          <w:b/>
          <w:bCs/>
          <w:color w:val="1B3A6B"/>
          <w:sz w:val="28"/>
          <w:szCs w:val="28"/>
        </w:rPr>
        <w:t xml:space="preserve">5.1 Site Map</w:t>
      </w:r>
    </w:p>
    <w:p>
      <w:pPr>
        <w:spacing w:after="120" w:line="300"/>
      </w:pPr>
      <w:r>
        <w:rPr>
          <w:rFonts w:ascii="Arial" w:cs="Arial" w:eastAsia="Arial" w:hAnsi="Arial"/>
          <w:color w:val="1A1A1A"/>
          <w:sz w:val="22"/>
          <w:szCs w:val="22"/>
        </w:rPr>
        <w:t xml:space="preserve">The website is organized into seven primary navigation sections plus an Admin Portal: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Primary Nav</w:t>
            </w:r>
          </w:p>
        </w:tc>
        <w:tc>
          <w:tcPr>
            <w:tcW w:type="dxa" w:w="35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Sub-Pages</w:t>
            </w:r>
          </w:p>
        </w:tc>
        <w:tc>
          <w:tcPr>
            <w:tcW w:type="dxa" w:w="35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Key Content</w:t>
            </w:r>
          </w:p>
        </w:tc>
      </w:tr>
      <w:tr>
        <w:tc>
          <w:tcPr>
            <w:tcW w:type="dxa" w:w="22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Home</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Hero, quick stats, upcoming events, CTA to Apply</w:t>
            </w:r>
          </w:p>
        </w:tc>
      </w:tr>
      <w:tr>
        <w:tc>
          <w:tcPr>
            <w:tcW w:type="dxa" w:w="22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About</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What is Incubator Baguio, Legal Basis, Alliance Members, Team, Governance, IP Policy</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Ordinance overview, alliance composition, leadership bios</w:t>
            </w:r>
          </w:p>
        </w:tc>
      </w:tr>
      <w:tr>
        <w:tc>
          <w:tcPr>
            <w:tcW w:type="dxa" w:w="22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Programs</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Incubation, Innovation Camp, Research Forum, Startup Week, Hackathons, Workshops, Mentorship</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 descriptions, tracks, eligibility, cohort calendar</w:t>
            </w:r>
          </w:p>
        </w:tc>
      </w:tr>
      <w:tr>
        <w:tc>
          <w:tcPr>
            <w:tcW w:type="dxa" w:w="22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Apply</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Application, Research Submission, Mentor Registration, Partner Inquiry, Event Registration</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Online forms, eligibility checklist, submission status tracking</w:t>
            </w:r>
          </w:p>
        </w:tc>
      </w:tr>
      <w:tr>
        <w:tc>
          <w:tcPr>
            <w:tcW w:type="dxa" w:w="22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Knowledge Hub</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Database, Innovations Directory, Case Studies, Resources &amp; Toolkits, IP Resources, Publications</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Centralized innovation database (Sec. 9), searchable repository</w:t>
            </w:r>
          </w:p>
        </w:tc>
      </w:tr>
      <w:tr>
        <w:tc>
          <w:tcPr>
            <w:tcW w:type="dxa" w:w="22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Ecosystem</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Partner Directory, Startup Portfolio, Ecosystem Map, Funding Opportunities, Mentor Network</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Quadruple helix map, startup profiles, opportunity listings</w:t>
            </w:r>
          </w:p>
        </w:tc>
      </w:tr>
      <w:tr>
        <w:tc>
          <w:tcPr>
            <w:tcW w:type="dxa" w:w="22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News &amp; Events</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Announcements, Press Coverage, Events Calendar, Photo Gallery, Reports</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Latest news, event schedule, past event archives, annual reports</w:t>
            </w:r>
          </w:p>
        </w:tc>
      </w:tr>
      <w:tr>
        <w:tc>
          <w:tcPr>
            <w:tcW w:type="dxa" w:w="2200"/>
            <w:tcBorders>
              <w:top w:val="single" w:color="BBCDE5" w:sz="1"/>
              <w:left w:val="single" w:color="BBCDE5" w:sz="1"/>
              <w:bottom w:val="single" w:color="BBCDE5" w:sz="1"/>
              <w:right w:val="single" w:color="BBCDE5" w:sz="1"/>
            </w:tcBorders>
            <w:shd w:fill="EFF4FB" w:val="clear"/>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Contact</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Contact Form, Office Location, Social Media</w:t>
            </w:r>
          </w:p>
        </w:tc>
        <w:tc>
          <w:tcPr>
            <w:tcW w:type="dxa" w:w="35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CPDSO contact, partnership inquiry, social links</w:t>
            </w:r>
          </w:p>
        </w:tc>
      </w:tr>
      <w:tr>
        <w:tc>
          <w:tcPr>
            <w:tcW w:type="dxa" w:w="2200"/>
            <w:tcBorders>
              <w:top w:val="single" w:color="BBCDE5" w:sz="1"/>
              <w:left w:val="single" w:color="BBCDE5" w:sz="1"/>
              <w:bottom w:val="single" w:color="BBCDE5" w:sz="1"/>
              <w:right w:val="single" w:color="BBCDE5"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Admin Portal (Internal)</w:t>
            </w:r>
          </w:p>
        </w:tc>
        <w:tc>
          <w:tcPr>
            <w:tcW w:type="dxa" w:w="3580"/>
            <w:tcBorders>
              <w:top w:val="single" w:color="BBCDE5" w:sz="1"/>
              <w:left w:val="single" w:color="BBCDE5" w:sz="1"/>
              <w:bottom w:val="single" w:color="BBCDE5" w:sz="1"/>
              <w:right w:val="single" w:color="BBCDE5" w:sz="1"/>
            </w:tcBorders>
            <w:shd w:fill="D6E4F7"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Dashboard, Applications, Events, Knowledge, Partners, Reports, Users</w:t>
            </w:r>
          </w:p>
        </w:tc>
        <w:tc>
          <w:tcPr>
            <w:tcW w:type="dxa" w:w="3580"/>
            <w:tcBorders>
              <w:top w:val="single" w:color="BBCDE5" w:sz="1"/>
              <w:left w:val="single" w:color="BBCDE5" w:sz="1"/>
              <w:bottom w:val="single" w:color="BBCDE5" w:sz="1"/>
              <w:right w:val="single" w:color="BBCDE5" w:sz="1"/>
            </w:tcBorders>
            <w:shd w:fill="D6E4F7" w:val="clear"/>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Role-based access, application review, content management, analytics</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5.2 Navigation Hierarchy</w:t>
      </w:r>
    </w:p>
    <w:p>
      <w:pPr>
        <w:spacing w:after="120" w:line="300"/>
      </w:pPr>
      <w:r>
        <w:rPr>
          <w:rFonts w:ascii="Arial" w:cs="Arial" w:eastAsia="Arial" w:hAnsi="Arial"/>
          <w:color w:val="1A1A1A"/>
          <w:sz w:val="22"/>
          <w:szCs w:val="22"/>
        </w:rPr>
        <w:t xml:space="preserve">Global navigation behavior:</w:t>
      </w:r>
    </w:p>
    <w:p>
      <w:pPr>
        <w:pStyle w:val="ListParagraph"/>
        <w:numPr>
          <w:ilvl w:val="0"/>
          <w:numId w:val="2"/>
        </w:numPr>
        <w:spacing w:after="80"/>
      </w:pPr>
      <w:r>
        <w:rPr>
          <w:rFonts w:ascii="Arial" w:cs="Arial" w:eastAsia="Arial" w:hAnsi="Arial"/>
          <w:color w:val="1A1A1A"/>
          <w:sz w:val="22"/>
          <w:szCs w:val="22"/>
        </w:rPr>
        <w:t xml:space="preserve">Sticky top navigation with logo, main links, Search, and Apply Now CTA button</w:t>
      </w:r>
    </w:p>
    <w:p>
      <w:pPr>
        <w:pStyle w:val="ListParagraph"/>
        <w:numPr>
          <w:ilvl w:val="0"/>
          <w:numId w:val="2"/>
        </w:numPr>
        <w:spacing w:after="80"/>
      </w:pPr>
      <w:r>
        <w:rPr>
          <w:rFonts w:ascii="Arial" w:cs="Arial" w:eastAsia="Arial" w:hAnsi="Arial"/>
          <w:color w:val="1A1A1A"/>
          <w:sz w:val="22"/>
          <w:szCs w:val="22"/>
        </w:rPr>
        <w:t xml:space="preserve">Mega menu on Programs and About sections due to depth of content</w:t>
      </w:r>
    </w:p>
    <w:p>
      <w:pPr>
        <w:pStyle w:val="ListParagraph"/>
        <w:numPr>
          <w:ilvl w:val="0"/>
          <w:numId w:val="2"/>
        </w:numPr>
        <w:spacing w:after="80"/>
      </w:pPr>
      <w:r>
        <w:rPr>
          <w:rFonts w:ascii="Arial" w:cs="Arial" w:eastAsia="Arial" w:hAnsi="Arial"/>
          <w:color w:val="1A1A1A"/>
          <w:sz w:val="22"/>
          <w:szCs w:val="22"/>
        </w:rPr>
        <w:t xml:space="preserve">Mobile-first hamburger menu with same depth</w:t>
      </w:r>
    </w:p>
    <w:p>
      <w:pPr>
        <w:pStyle w:val="ListParagraph"/>
        <w:numPr>
          <w:ilvl w:val="0"/>
          <w:numId w:val="2"/>
        </w:numPr>
        <w:spacing w:after="80"/>
      </w:pPr>
      <w:r>
        <w:rPr>
          <w:rFonts w:ascii="Arial" w:cs="Arial" w:eastAsia="Arial" w:hAnsi="Arial"/>
          <w:color w:val="1A1A1A"/>
          <w:sz w:val="22"/>
          <w:szCs w:val="22"/>
        </w:rPr>
        <w:t xml:space="preserve">Breadcrumb navigation for all interior pages (3+ levels deep)</w:t>
      </w:r>
    </w:p>
    <w:p>
      <w:pPr>
        <w:pStyle w:val="ListParagraph"/>
        <w:numPr>
          <w:ilvl w:val="0"/>
          <w:numId w:val="2"/>
        </w:numPr>
        <w:spacing w:after="80"/>
      </w:pPr>
      <w:r>
        <w:rPr>
          <w:rFonts w:ascii="Arial" w:cs="Arial" w:eastAsia="Arial" w:hAnsi="Arial"/>
          <w:color w:val="1A1A1A"/>
          <w:sz w:val="22"/>
          <w:szCs w:val="22"/>
        </w:rPr>
        <w:t xml:space="preserve">Footer with full site map, social links, CPDSO contact, and quick legal/IP links</w:t>
      </w:r>
    </w:p>
    <w:p>
      <w:pPr>
        <w:pStyle w:val="ListParagraph"/>
        <w:numPr>
          <w:ilvl w:val="0"/>
          <w:numId w:val="2"/>
        </w:numPr>
        <w:spacing w:after="80"/>
      </w:pPr>
      <w:r>
        <w:rPr>
          <w:rFonts w:ascii="Arial" w:cs="Arial" w:eastAsia="Arial" w:hAnsi="Arial"/>
          <w:color w:val="1A1A1A"/>
          <w:sz w:val="22"/>
          <w:szCs w:val="22"/>
        </w:rPr>
        <w:t xml:space="preserve">Persistent "Apply Now" floating CTA on key pages during open application periods</w:t>
      </w:r>
    </w:p>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6. Feature Specifications</w:t>
      </w:r>
    </w:p>
    <w:p>
      <w:pPr>
        <w:pStyle w:val="Heading2"/>
        <w:spacing w:after="100" w:before="280"/>
      </w:pPr>
      <w:r>
        <w:rPr>
          <w:rFonts w:ascii="Arial" w:cs="Arial" w:eastAsia="Arial" w:hAnsi="Arial"/>
          <w:b/>
          <w:bCs/>
          <w:color w:val="1B3A6B"/>
          <w:sz w:val="28"/>
          <w:szCs w:val="28"/>
        </w:rPr>
        <w:t xml:space="preserve">6.1 Homepage</w:t>
      </w:r>
    </w:p>
    <w:p>
      <w:pPr>
        <w:pStyle w:val="Heading3"/>
        <w:spacing w:after="80" w:before="200"/>
      </w:pPr>
      <w:r>
        <w:rPr>
          <w:rFonts w:ascii="Arial" w:cs="Arial" w:eastAsia="Arial" w:hAnsi="Arial"/>
          <w:b/>
          <w:bCs/>
          <w:color w:val="2E7D6F"/>
          <w:sz w:val="24"/>
          <w:szCs w:val="24"/>
        </w:rPr>
        <w:t xml:space="preserve">Purpose</w:t>
      </w:r>
    </w:p>
    <w:p>
      <w:pPr>
        <w:spacing w:after="120" w:line="300"/>
      </w:pPr>
      <w:r>
        <w:rPr>
          <w:rFonts w:ascii="Arial" w:cs="Arial" w:eastAsia="Arial" w:hAnsi="Arial"/>
          <w:color w:val="1A1A1A"/>
          <w:sz w:val="22"/>
          <w:szCs w:val="22"/>
        </w:rPr>
        <w:t xml:space="preserve">First impression and navigation hub — must immediately communicate what Incubator Baguio is, who it's for, and what to do next.</w:t>
      </w:r>
    </w:p>
    <w:p>
      <w:pPr>
        <w:pStyle w:val="Heading3"/>
        <w:spacing w:after="80" w:before="200"/>
      </w:pPr>
      <w:r>
        <w:rPr>
          <w:rFonts w:ascii="Arial" w:cs="Arial" w:eastAsia="Arial" w:hAnsi="Arial"/>
          <w:b/>
          <w:bCs/>
          <w:color w:val="2E7D6F"/>
          <w:sz w:val="24"/>
          <w:szCs w:val="24"/>
        </w:rPr>
        <w:t xml:space="preserve">Required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Component</w:t>
            </w:r>
          </w:p>
        </w:tc>
        <w:tc>
          <w:tcPr>
            <w:tcW w:type="dxa" w:w="32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Description</w:t>
            </w:r>
          </w:p>
        </w:tc>
        <w:tc>
          <w:tcPr>
            <w:tcW w:type="dxa" w:w="32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Priority</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Hero Section</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Full-width banner with headline, sub-headline, and dual CTAs: "Apply Now" and "Learn More". Background: Baguio imagery + innovation visual.</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 — Must Have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Mission Statement</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One-paragraph summary of Incubator Baguio's purpose and legal mandate</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 — Must Have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Impact Statistics</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Animated counters: startups enrolled, youth engaged, partnerships, events held, research outputs</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 — Must Have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Programs Overview</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Card grid of 4-6 key programs with icon, title, brief description, and link to full program page</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 — Must Have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Upcoming Events</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Next 3 events with date, name, and registration link. Auto-updates from Events module.</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 — Must Have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Apply / Join CTA Section</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Three-track CTA: Startup Founder, Researcher, Partner — each linking to respective application</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 — Must Have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Alliance Member Logos</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Scrolling logo strip of all alliance members (HEIs, NGAs, industry partners)</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 — Should Have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Latest News Feed</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3 most recent news items with image, title, date, and link</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 — Should Have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Featured Startup</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Rotating spotlight on an incubated startup with founder quote and brief description</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P2 — Nice to Have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Startup Week Banner</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Seasonal banner promoting the annual 3rd-week-of-April event with countdown timer</w:t>
            </w:r>
          </w:p>
        </w:tc>
        <w:tc>
          <w:tcPr>
            <w:tcW w:type="dxa" w:w="32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P2 — Nice to Have</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6.2 About Section</w:t>
      </w:r>
    </w:p>
    <w:p>
      <w:pPr>
        <w:pStyle w:val="Heading3"/>
        <w:spacing w:after="80" w:before="200"/>
      </w:pPr>
      <w:r>
        <w:rPr>
          <w:rFonts w:ascii="Arial" w:cs="Arial" w:eastAsia="Arial" w:hAnsi="Arial"/>
          <w:b/>
          <w:bCs/>
          <w:color w:val="2E7D6F"/>
          <w:sz w:val="24"/>
          <w:szCs w:val="24"/>
        </w:rPr>
        <w:t xml:space="preserve">Sub-Pages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Sub-Page</w:t>
            </w:r>
          </w:p>
        </w:tc>
        <w:tc>
          <w:tcPr>
            <w:tcW w:type="dxa" w:w="6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Required Content</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What is Incubator Baguio</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History, mandate, role as the "missing link" in the ecosystem, quadruple helix model explanation, vision and mission statements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Legal Basis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Full text or summary of Ordinance No. 63, s.2023 with downloadable PDF. Highlight key sections relevant to public stakeholders.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Alliance Members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Organized by sector (HEIs, NGAs, Industry, Civil Society). Each member has logo, name, type, and brief description. Filterable.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Governance &amp; Team</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Convenor (City Mayor), Co-Convenor (CPDO), Core Team (CPDSO staff, SIGLAT Hub). Bios, photos, roles.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Intellectual Property Policy</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IP policy summary per Sec. 7 of the Ordinance: IP rights recognition, government use of IP for public value, researcher IP protection. Links to IP filing resources via IPO Philippines.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Priority Research Areas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13 priority areas per Sec. 10 (food security, education, health, social development, environment, entrepreneurship, safety, youth, energy, traditional knowledge, human capital, transportation, creative research) with SDG alignment</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6.3 Programs</w:t>
      </w:r>
    </w:p>
    <w:p>
      <w:pPr>
        <w:pStyle w:val="Heading3"/>
        <w:spacing w:after="80" w:before="200"/>
      </w:pPr>
      <w:r>
        <w:rPr>
          <w:rFonts w:ascii="Arial" w:cs="Arial" w:eastAsia="Arial" w:hAnsi="Arial"/>
          <w:b/>
          <w:bCs/>
          <w:color w:val="2E7D6F"/>
          <w:sz w:val="24"/>
          <w:szCs w:val="24"/>
        </w:rPr>
        <w:t xml:space="preserve">Program Pages</w:t>
      </w:r>
    </w:p>
    <w:p>
      <w:pPr>
        <w:spacing w:after="120" w:line="300"/>
      </w:pPr>
      <w:r>
        <w:rPr>
          <w:rFonts w:ascii="Arial" w:cs="Arial" w:eastAsia="Arial" w:hAnsi="Arial"/>
          <w:color w:val="1A1A1A"/>
          <w:sz w:val="22"/>
          <w:szCs w:val="22"/>
        </w:rPr>
        <w:t xml:space="preserve">Each program requires its own dedicated page with the following standard template:</w:t>
      </w:r>
    </w:p>
    <w:p>
      <w:pPr>
        <w:pStyle w:val="ListParagraph"/>
        <w:numPr>
          <w:ilvl w:val="0"/>
          <w:numId w:val="2"/>
        </w:numPr>
        <w:spacing w:after="80"/>
      </w:pPr>
      <w:r>
        <w:rPr>
          <w:rFonts w:ascii="Arial" w:cs="Arial" w:eastAsia="Arial" w:hAnsi="Arial"/>
          <w:color w:val="1A1A1A"/>
          <w:sz w:val="22"/>
          <w:szCs w:val="22"/>
        </w:rPr>
        <w:t xml:space="preserve">Program Overview — what it is, who it's for, what participants get</w:t>
      </w:r>
    </w:p>
    <w:p>
      <w:pPr>
        <w:pStyle w:val="ListParagraph"/>
        <w:numPr>
          <w:ilvl w:val="0"/>
          <w:numId w:val="2"/>
        </w:numPr>
        <w:spacing w:after="80"/>
      </w:pPr>
      <w:r>
        <w:rPr>
          <w:rFonts w:ascii="Arial" w:cs="Arial" w:eastAsia="Arial" w:hAnsi="Arial"/>
          <w:color w:val="1A1A1A"/>
          <w:sz w:val="22"/>
          <w:szCs w:val="22"/>
        </w:rPr>
        <w:t xml:space="preserve">Eligibility &amp; Selection Criteria</w:t>
      </w:r>
    </w:p>
    <w:p>
      <w:pPr>
        <w:pStyle w:val="ListParagraph"/>
        <w:numPr>
          <w:ilvl w:val="0"/>
          <w:numId w:val="2"/>
        </w:numPr>
        <w:spacing w:after="80"/>
      </w:pPr>
      <w:r>
        <w:rPr>
          <w:rFonts w:ascii="Arial" w:cs="Arial" w:eastAsia="Arial" w:hAnsi="Arial"/>
          <w:color w:val="1A1A1A"/>
          <w:sz w:val="22"/>
          <w:szCs w:val="22"/>
        </w:rPr>
        <w:t xml:space="preserve">Program Structure / Stages / Timeline</w:t>
      </w:r>
    </w:p>
    <w:p>
      <w:pPr>
        <w:pStyle w:val="ListParagraph"/>
        <w:numPr>
          <w:ilvl w:val="0"/>
          <w:numId w:val="2"/>
        </w:numPr>
        <w:spacing w:after="80"/>
      </w:pPr>
      <w:r>
        <w:rPr>
          <w:rFonts w:ascii="Arial" w:cs="Arial" w:eastAsia="Arial" w:hAnsi="Arial"/>
          <w:color w:val="1A1A1A"/>
          <w:sz w:val="22"/>
          <w:szCs w:val="22"/>
        </w:rPr>
        <w:t xml:space="preserve">Benefits and Support Offered</w:t>
      </w:r>
    </w:p>
    <w:p>
      <w:pPr>
        <w:pStyle w:val="ListParagraph"/>
        <w:numPr>
          <w:ilvl w:val="0"/>
          <w:numId w:val="2"/>
        </w:numPr>
        <w:spacing w:after="80"/>
      </w:pPr>
      <w:r>
        <w:rPr>
          <w:rFonts w:ascii="Arial" w:cs="Arial" w:eastAsia="Arial" w:hAnsi="Arial"/>
          <w:color w:val="1A1A1A"/>
          <w:sz w:val="22"/>
          <w:szCs w:val="22"/>
        </w:rPr>
        <w:t xml:space="preserve">Application / Registration CTA</w:t>
      </w:r>
    </w:p>
    <w:p>
      <w:pPr>
        <w:pStyle w:val="ListParagraph"/>
        <w:numPr>
          <w:ilvl w:val="0"/>
          <w:numId w:val="2"/>
        </w:numPr>
        <w:spacing w:after="80"/>
      </w:pPr>
      <w:r>
        <w:rPr>
          <w:rFonts w:ascii="Arial" w:cs="Arial" w:eastAsia="Arial" w:hAnsi="Arial"/>
          <w:color w:val="1A1A1A"/>
          <w:sz w:val="22"/>
          <w:szCs w:val="22"/>
        </w:rPr>
        <w:t xml:space="preserve">FAQs</w:t>
      </w:r>
    </w:p>
    <w:p>
      <w:pPr>
        <w:pStyle w:val="ListParagraph"/>
        <w:numPr>
          <w:ilvl w:val="0"/>
          <w:numId w:val="2"/>
        </w:numPr>
        <w:spacing w:after="80"/>
      </w:pPr>
      <w:r>
        <w:rPr>
          <w:rFonts w:ascii="Arial" w:cs="Arial" w:eastAsia="Arial" w:hAnsi="Arial"/>
          <w:color w:val="1A1A1A"/>
          <w:sz w:val="22"/>
          <w:szCs w:val="22"/>
        </w:rPr>
        <w:t xml:space="preserve">Past Cohort / Past Events Highlights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443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Program</w:t>
            </w:r>
          </w:p>
        </w:tc>
        <w:tc>
          <w:tcPr>
            <w:tcW w:type="dxa" w:w="2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Target Audience</w:t>
            </w:r>
          </w:p>
        </w:tc>
        <w:tc>
          <w:tcPr>
            <w:tcW w:type="dxa" w:w="4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Key Features on Page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Incubation Program</w:t>
            </w:r>
          </w:p>
        </w:tc>
        <w:tc>
          <w:tcPr>
            <w:tcW w:type="dxa" w:w="2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Early-stage startups, tech ventures, research-based businesses</w:t>
            </w:r>
          </w:p>
        </w:tc>
        <w:tc>
          <w:tcPr>
            <w:tcW w:type="dxa" w:w="4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3-stage program map (pre-incubation → incubation → post-incubation), cohort calendar, mentor matching, milestone tracker teaser</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Camp (Annual)</w:t>
            </w:r>
          </w:p>
        </w:tc>
        <w:tc>
          <w:tcPr>
            <w:tcW w:type="dxa" w:w="2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Students and youth (500+ target), aspiring entrepreneurs</w:t>
            </w:r>
          </w:p>
        </w:tc>
        <w:tc>
          <w:tcPr>
            <w:tcW w:type="dxa" w:w="4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Challenge briefs, SDG focus areas, registration form, schedule, past camp highlights, prizes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City Research Forum (Annual)</w:t>
            </w:r>
          </w:p>
        </w:tc>
        <w:tc>
          <w:tcPr>
            <w:tcW w:type="dxa" w:w="2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Researchers, faculty, HEI students, policymakers</w:t>
            </w:r>
          </w:p>
        </w:tc>
        <w:tc>
          <w:tcPr>
            <w:tcW w:type="dxa" w:w="4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Call for papers, submission guidelines, conference schedule, abstract submission form, past proceedings archive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Startup Week (April)</w:t>
            </w:r>
          </w:p>
        </w:tc>
        <w:tc>
          <w:tcPr>
            <w:tcW w:type="dxa" w:w="2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Startups, investors, mentors, industry, public</w:t>
            </w:r>
          </w:p>
        </w:tc>
        <w:tc>
          <w:tcPr>
            <w:tcW w:type="dxa" w:w="4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Week schedule, pitch competition, demo day, investor matching, registration, exhibitor signup</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Hackathons &amp; Design Sprints</w:t>
            </w:r>
          </w:p>
        </w:tc>
        <w:tc>
          <w:tcPr>
            <w:tcW w:type="dxa" w:w="2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Developers, designers, innovators, students</w:t>
            </w:r>
          </w:p>
        </w:tc>
        <w:tc>
          <w:tcPr>
            <w:tcW w:type="dxa" w:w="4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Challenge themes, team formation, judging criteria, prizes, registration, schedule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Workshops &amp; Masterclasses</w:t>
            </w:r>
          </w:p>
        </w:tc>
        <w:tc>
          <w:tcPr>
            <w:tcW w:type="dxa" w:w="2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Entrepreneurs, researchers, MSMEs</w:t>
            </w:r>
          </w:p>
        </w:tc>
        <w:tc>
          <w:tcPr>
            <w:tcW w:type="dxa" w:w="4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Workshop calendar, topic list (design thinking, lean startup, IP, fundraising), speaker profiles, registration</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Mentorship Program</w:t>
            </w:r>
          </w:p>
        </w:tc>
        <w:tc>
          <w:tcPr>
            <w:tcW w:type="dxa" w:w="2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Startups and innovators seeking guidance</w:t>
            </w:r>
          </w:p>
        </w:tc>
        <w:tc>
          <w:tcPr>
            <w:tcW w:type="dxa" w:w="4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Mentor directory, area of expertise filter, mentor application form, how it works</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6.4 Apply Portal</w:t>
      </w:r>
    </w:p>
    <w:p>
      <w:pPr>
        <w:pStyle w:val="Heading3"/>
        <w:spacing w:after="80" w:before="200"/>
      </w:pPr>
      <w:r>
        <w:rPr>
          <w:rFonts w:ascii="Arial" w:cs="Arial" w:eastAsia="Arial" w:hAnsi="Arial"/>
          <w:b/>
          <w:bCs/>
          <w:color w:val="2E7D6F"/>
          <w:sz w:val="24"/>
          <w:szCs w:val="24"/>
        </w:rPr>
        <w:t xml:space="preserve">Application Types &amp;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Application Type</w:t>
            </w:r>
          </w:p>
        </w:tc>
        <w:tc>
          <w:tcPr>
            <w:tcW w:type="dxa" w:w="3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Fields Required</w:t>
            </w:r>
          </w:p>
        </w:tc>
        <w:tc>
          <w:tcPr>
            <w:tcW w:type="dxa" w:w="3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Workflow</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Incubation Application</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Founder info, team composition, startup name/stage, problem statement, solution overview, target market, traction/validation, funding status, pitch deck upload, SDG alignment</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Submit → Auto-acknowledgment email → Admin review → Interview schedule → Acceptance/Rejection notification</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 Innovation Submission (for Knowledge Hub)</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Researcher name, institution, title, abstract, priority area alignment, research type, publication status, IP status, full document upload (optional), co-authors</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Submit → Curator review → Tagging &amp; categorization → Published to database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Forum Paper Submission</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Author info, title, abstract, full paper upload, presentation preference (oral/poster), track selection</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Submit → Peer review notification → Acceptance email → Schedule assignment</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Mentor Registration</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Name, organization, LinkedIn, expertise areas, availability, mentorship focus (business, tech, funding, strategy), bio, photo</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Submit → Admin review → Published to Mentor Directory</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Partner / MOA Inquiry</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Organization name, sector, representative name, contact details, partnership interest areas, brief proposal/note</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Submit → Partnership Officer notified → Follow-up within 5 days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Event Registration (General)</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Name, email, institution/organization, event selection, dietary/accessibility needs, agree to terms</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Submit → Confirmation email with event details → Reminder 48hrs before event</w:t>
            </w:r>
          </w:p>
        </w:tc>
      </w:tr>
    </w:tbl>
    <w:p>
      <w:pPr>
        <w:spacing w:after="120"/>
      </w:pPr>
      <w:r>
        <w:t xml:space="preserve"/>
      </w:r>
    </w:p>
    <w:p>
      <w:pPr>
        <w:pStyle w:val="Heading3"/>
        <w:spacing w:after="80" w:before="200"/>
      </w:pPr>
      <w:r>
        <w:rPr>
          <w:rFonts w:ascii="Arial" w:cs="Arial" w:eastAsia="Arial" w:hAnsi="Arial"/>
          <w:b/>
          <w:bCs/>
          <w:color w:val="2E7D6F"/>
          <w:sz w:val="24"/>
          <w:szCs w:val="24"/>
        </w:rPr>
        <w:t xml:space="preserve">Application Portal Requirements</w:t>
      </w:r>
    </w:p>
    <w:p>
      <w:pPr>
        <w:pStyle w:val="ListParagraph"/>
        <w:numPr>
          <w:ilvl w:val="0"/>
          <w:numId w:val="2"/>
        </w:numPr>
        <w:spacing w:after="80"/>
      </w:pPr>
      <w:r>
        <w:rPr>
          <w:rFonts w:ascii="Arial" w:cs="Arial" w:eastAsia="Arial" w:hAnsi="Arial"/>
          <w:color w:val="1A1A1A"/>
          <w:sz w:val="22"/>
          <w:szCs w:val="22"/>
        </w:rPr>
        <w:t xml:space="preserve">All forms must be mobile-responsive and accessible (WCAG 2.1 AA)</w:t>
      </w:r>
    </w:p>
    <w:p>
      <w:pPr>
        <w:pStyle w:val="ListParagraph"/>
        <w:numPr>
          <w:ilvl w:val="0"/>
          <w:numId w:val="2"/>
        </w:numPr>
        <w:spacing w:after="80"/>
      </w:pPr>
      <w:r>
        <w:rPr>
          <w:rFonts w:ascii="Arial" w:cs="Arial" w:eastAsia="Arial" w:hAnsi="Arial"/>
          <w:color w:val="1A1A1A"/>
          <w:sz w:val="22"/>
          <w:szCs w:val="22"/>
        </w:rPr>
        <w:t xml:space="preserve">File uploads: accept PDF, DOCX, PPTX — max 10MB per file</w:t>
      </w:r>
    </w:p>
    <w:p>
      <w:pPr>
        <w:pStyle w:val="ListParagraph"/>
        <w:numPr>
          <w:ilvl w:val="0"/>
          <w:numId w:val="2"/>
        </w:numPr>
        <w:spacing w:after="80"/>
      </w:pPr>
      <w:r>
        <w:rPr>
          <w:rFonts w:ascii="Arial" w:cs="Arial" w:eastAsia="Arial" w:hAnsi="Arial"/>
          <w:color w:val="1A1A1A"/>
          <w:sz w:val="22"/>
          <w:szCs w:val="22"/>
        </w:rPr>
        <w:t xml:space="preserve">Auto-save draft functionality for long-form applications (startup, research)</w:t>
      </w:r>
    </w:p>
    <w:p>
      <w:pPr>
        <w:pStyle w:val="ListParagraph"/>
        <w:numPr>
          <w:ilvl w:val="0"/>
          <w:numId w:val="2"/>
        </w:numPr>
        <w:spacing w:after="80"/>
      </w:pPr>
      <w:r>
        <w:rPr>
          <w:rFonts w:ascii="Arial" w:cs="Arial" w:eastAsia="Arial" w:hAnsi="Arial"/>
          <w:color w:val="1A1A1A"/>
          <w:sz w:val="22"/>
          <w:szCs w:val="22"/>
        </w:rPr>
        <w:t xml:space="preserve">Application status dashboard for applicants after login</w:t>
      </w:r>
    </w:p>
    <w:p>
      <w:pPr>
        <w:pStyle w:val="ListParagraph"/>
        <w:numPr>
          <w:ilvl w:val="0"/>
          <w:numId w:val="2"/>
        </w:numPr>
        <w:spacing w:after="80"/>
      </w:pPr>
      <w:r>
        <w:rPr>
          <w:rFonts w:ascii="Arial" w:cs="Arial" w:eastAsia="Arial" w:hAnsi="Arial"/>
          <w:color w:val="1A1A1A"/>
          <w:sz w:val="22"/>
          <w:szCs w:val="22"/>
        </w:rPr>
        <w:t xml:space="preserve">Email notifications at every stage of the workflow</w:t>
      </w:r>
    </w:p>
    <w:p>
      <w:pPr>
        <w:pStyle w:val="ListParagraph"/>
        <w:numPr>
          <w:ilvl w:val="0"/>
          <w:numId w:val="2"/>
        </w:numPr>
        <w:spacing w:after="80"/>
      </w:pPr>
      <w:r>
        <w:rPr>
          <w:rFonts w:ascii="Arial" w:cs="Arial" w:eastAsia="Arial" w:hAnsi="Arial"/>
          <w:color w:val="1A1A1A"/>
          <w:sz w:val="22"/>
          <w:szCs w:val="22"/>
        </w:rPr>
        <w:t xml:space="preserve">Admin-side: filter, sort, export applications to Excel/CSV</w:t>
      </w:r>
    </w:p>
    <w:p>
      <w:pPr>
        <w:pStyle w:val="ListParagraph"/>
        <w:numPr>
          <w:ilvl w:val="0"/>
          <w:numId w:val="2"/>
        </w:numPr>
        <w:spacing w:after="80"/>
      </w:pPr>
      <w:r>
        <w:rPr>
          <w:rFonts w:ascii="Arial" w:cs="Arial" w:eastAsia="Arial" w:hAnsi="Arial"/>
          <w:color w:val="1A1A1A"/>
          <w:sz w:val="22"/>
          <w:szCs w:val="22"/>
        </w:rPr>
        <w:t xml:space="preserve">Configurable open/close dates per application window</w:t>
      </w:r>
    </w:p>
    <w:p>
      <w:pPr>
        <w:spacing w:after="240"/>
      </w:pPr>
      <w:r>
        <w:t xml:space="preserve"/>
      </w:r>
    </w:p>
    <w:p>
      <w:pPr>
        <w:pStyle w:val="Heading2"/>
        <w:spacing w:after="100" w:before="280"/>
      </w:pPr>
      <w:r>
        <w:rPr>
          <w:rFonts w:ascii="Arial" w:cs="Arial" w:eastAsia="Arial" w:hAnsi="Arial"/>
          <w:b/>
          <w:bCs/>
          <w:color w:val="1B3A6B"/>
          <w:sz w:val="28"/>
          <w:szCs w:val="28"/>
        </w:rPr>
        <w:t xml:space="preserve">6.5 Knowledge Hub</w:t>
      </w:r>
    </w:p>
    <w:p>
      <w:pPr>
        <w:spacing w:after="120" w:line="300"/>
      </w:pPr>
      <w:r>
        <w:rPr>
          <w:rFonts w:ascii="Arial" w:cs="Arial" w:eastAsia="Arial" w:hAnsi="Arial"/>
          <w:color w:val="1A1A1A"/>
          <w:sz w:val="22"/>
          <w:szCs w:val="22"/>
        </w:rPr>
        <w:t xml:space="preserve">Directly mandated by Ordinance Sec. 9: "There shall be a centralized database of researches, and other forms of innovation undertaken by the Innovation Alliance." This is a critical and legally required feature.</w:t>
      </w:r>
    </w:p>
    <w:p>
      <w:pPr>
        <w:spacing w:after="120"/>
      </w:pPr>
      <w:r>
        <w:t xml:space="preserve"/>
      </w:r>
    </w:p>
    <w:p>
      <w:pPr>
        <w:pStyle w:val="Heading3"/>
        <w:spacing w:after="80" w:before="200"/>
      </w:pPr>
      <w:r>
        <w:rPr>
          <w:rFonts w:ascii="Arial" w:cs="Arial" w:eastAsia="Arial" w:hAnsi="Arial"/>
          <w:b/>
          <w:bCs/>
          <w:color w:val="2E7D6F"/>
          <w:sz w:val="24"/>
          <w:szCs w:val="24"/>
        </w:rPr>
        <w:t xml:space="preserve">Knowledge Hub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Module</w:t>
            </w:r>
          </w:p>
        </w:tc>
        <w:tc>
          <w:tcPr>
            <w:tcW w:type="dxa" w:w="6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Description &amp; Requirements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Database</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Searchable repository of all research outputs submitted by HEIs, researchers, and independent innovators. Filterable by: institution, year, priority area (SDG), research type, IP status, publication status. Each entry: title, authors, abstract, tags, institution, year, download (if available).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Innovations Directory</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Curated list of innovations, prototypes, and products developed through Incubator Baguio programs. Each entry: innovation name, team, description, impact, stage (prototype/market-ready/commercialized), link to startup profile if applicable.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Case Studies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3+ case studies per year (per project proposal). Long-form narratives on incubated startups, successful tech transfers, and innovation program outcomes. Downloadable PDF format.</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Resources &amp; Toolkits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Learning materials downloadable to all stakeholders: design thinking worksheets, lean startup canvas, business model templates, IP filing guides, fundraising guides, regulation compliance checklists, pitch deck templates.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IP Resources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IP policy summary, guide to filing with IPO Philippines, links to relevant DOST and DTI IP programs, FAQ on IP rights for researchers, contact for IP assistance from the alliance.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Publications &amp; Reports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Annual Ecosystem Assessment (1 per year), Quarterly Innovation Reports (4 per year), Annual Report, Research Forum Proceedings, event summaries and documentation.</w:t>
            </w:r>
          </w:p>
        </w:tc>
      </w:tr>
    </w:tbl>
    <w:p>
      <w:pPr>
        <w:spacing w:after="120"/>
      </w:pPr>
      <w:r>
        <w:t xml:space="preserve"/>
      </w:r>
    </w:p>
    <w:p>
      <w:pPr>
        <w:pStyle w:val="Heading3"/>
        <w:spacing w:after="80" w:before="200"/>
      </w:pPr>
      <w:r>
        <w:rPr>
          <w:rFonts w:ascii="Arial" w:cs="Arial" w:eastAsia="Arial" w:hAnsi="Arial"/>
          <w:b/>
          <w:bCs/>
          <w:color w:val="2E7D6F"/>
          <w:sz w:val="24"/>
          <w:szCs w:val="24"/>
        </w:rPr>
        <w:t xml:space="preserve">Access Control for Knowledge Hub</w:t>
      </w:r>
    </w:p>
    <w:p>
      <w:pPr>
        <w:pStyle w:val="ListParagraph"/>
        <w:numPr>
          <w:ilvl w:val="0"/>
          <w:numId w:val="2"/>
        </w:numPr>
        <w:spacing w:after="80"/>
      </w:pPr>
      <w:r>
        <w:rPr>
          <w:rFonts w:ascii="Arial" w:cs="Arial" w:eastAsia="Arial" w:hAnsi="Arial"/>
          <w:color w:val="1A1A1A"/>
          <w:sz w:val="22"/>
          <w:szCs w:val="22"/>
        </w:rPr>
        <w:t xml:space="preserve">Public tier: abstracts, titles, tags, non-restricted downloads are open to all visitors</w:t>
      </w:r>
    </w:p>
    <w:p>
      <w:pPr>
        <w:pStyle w:val="ListParagraph"/>
        <w:numPr>
          <w:ilvl w:val="0"/>
          <w:numId w:val="2"/>
        </w:numPr>
        <w:spacing w:after="80"/>
      </w:pPr>
      <w:r>
        <w:rPr>
          <w:rFonts w:ascii="Arial" w:cs="Arial" w:eastAsia="Arial" w:hAnsi="Arial"/>
          <w:color w:val="1A1A1A"/>
          <w:sz w:val="22"/>
          <w:szCs w:val="22"/>
        </w:rPr>
        <w:t xml:space="preserve">Member tier: full research documents (with author permission), curated toolkits — requires registration</w:t>
      </w:r>
    </w:p>
    <w:p>
      <w:pPr>
        <w:pStyle w:val="ListParagraph"/>
        <w:numPr>
          <w:ilvl w:val="0"/>
          <w:numId w:val="2"/>
        </w:numPr>
        <w:spacing w:after="80"/>
      </w:pPr>
      <w:r>
        <w:rPr>
          <w:rFonts w:ascii="Arial" w:cs="Arial" w:eastAsia="Arial" w:hAnsi="Arial"/>
          <w:color w:val="1A1A1A"/>
          <w:sz w:val="22"/>
          <w:szCs w:val="22"/>
        </w:rPr>
        <w:t xml:space="preserve">Alliance member tier: full database access with export — restricted to verified Incubator Baguio members</w:t>
      </w:r>
    </w:p>
    <w:p>
      <w:pPr>
        <w:pStyle w:val="ListParagraph"/>
        <w:numPr>
          <w:ilvl w:val="0"/>
          <w:numId w:val="2"/>
        </w:numPr>
        <w:spacing w:after="80"/>
      </w:pPr>
      <w:r>
        <w:rPr>
          <w:rFonts w:ascii="Arial" w:cs="Arial" w:eastAsia="Arial" w:hAnsi="Arial"/>
          <w:color w:val="1A1A1A"/>
          <w:sz w:val="22"/>
          <w:szCs w:val="22"/>
        </w:rPr>
        <w:t xml:space="preserve">Admin tier: full CRUD access, curation, approval queue</w:t>
      </w:r>
    </w:p>
    <w:p>
      <w:pPr>
        <w:spacing w:after="240"/>
      </w:pPr>
      <w:r>
        <w:t xml:space="preserve"/>
      </w:r>
    </w:p>
    <w:p>
      <w:pPr>
        <w:pStyle w:val="Heading2"/>
        <w:spacing w:after="100" w:before="280"/>
      </w:pPr>
      <w:r>
        <w:rPr>
          <w:rFonts w:ascii="Arial" w:cs="Arial" w:eastAsia="Arial" w:hAnsi="Arial"/>
          <w:b/>
          <w:bCs/>
          <w:color w:val="1B3A6B"/>
          <w:sz w:val="28"/>
          <w:szCs w:val="28"/>
        </w:rPr>
        <w:t xml:space="preserve">6.6 Events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Feature</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Description</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Events Calendar</w:t>
            </w:r>
          </w:p>
        </w:tc>
        <w:tc>
          <w:tcPr>
            <w:tcW w:type="dxa" w:w="65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Visual calendar view (monthly/list toggle) of all upcoming events. Filter by type (workshop, hackathon, forum, camp, networking). Color-coded by program type.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Event Detail Page</w:t>
            </w:r>
          </w:p>
        </w:tc>
        <w:tc>
          <w:tcPr>
            <w:tcW w:type="dxa" w:w="65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Full event page with: description, date/time/venue (or online link), speakers/facilitators, agenda/schedule, registration button, capacity indicator, social share buttons.</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Registration Flow</w:t>
            </w:r>
          </w:p>
        </w:tc>
        <w:tc>
          <w:tcPr>
            <w:tcW w:type="dxa" w:w="65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Integrated with Apply Portal. Supports capacity limits with waitlist. Sends calendar invite (iCal) upon registration. Pre-event reminder emails at 7 days and 24 hours.</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Startup Week Hub</w:t>
            </w:r>
          </w:p>
        </w:tc>
        <w:tc>
          <w:tcPr>
            <w:tcW w:type="dxa" w:w="65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Dedicated landing page for the annual 3rd-week-of-April event. Includes: schedule, startup exhibitors list, pitch competition bracket, investor profiles, registration for all sub-events, countdown timer.</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Past Events Archive</w:t>
            </w:r>
          </w:p>
        </w:tc>
        <w:tc>
          <w:tcPr>
            <w:tcW w:type="dxa" w:w="65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Gallery, recap articles, slide decks, and video embeds from past events. Searchable by year and type.</w:t>
            </w:r>
          </w:p>
        </w:tc>
      </w:tr>
      <w:tr>
        <w:tc>
          <w:tcPr>
            <w:tcW w:type="dxa" w:w="28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QR Code Check-in (Admin)</w:t>
            </w:r>
          </w:p>
        </w:tc>
        <w:tc>
          <w:tcPr>
            <w:tcW w:type="dxa" w:w="65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Admin-only feature to generate QR codes for on-site registration verification and attendance tracking.</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6.7 Ecosystem Section</w:t>
      </w:r>
    </w:p>
    <w:p>
      <w:pPr>
        <w:pStyle w:val="Heading3"/>
        <w:spacing w:after="80" w:before="200"/>
      </w:pPr>
      <w:r>
        <w:rPr>
          <w:rFonts w:ascii="Arial" w:cs="Arial" w:eastAsia="Arial" w:hAnsi="Arial"/>
          <w:b/>
          <w:bCs/>
          <w:color w:val="2E7D6F"/>
          <w:sz w:val="24"/>
          <w:szCs w:val="24"/>
        </w:rPr>
        <w:t xml:space="preserve">Startup Portfolio</w:t>
      </w:r>
    </w:p>
    <w:p>
      <w:pPr>
        <w:pStyle w:val="ListParagraph"/>
        <w:numPr>
          <w:ilvl w:val="0"/>
          <w:numId w:val="2"/>
        </w:numPr>
        <w:spacing w:after="80"/>
      </w:pPr>
      <w:r>
        <w:rPr>
          <w:rFonts w:ascii="Arial" w:cs="Arial" w:eastAsia="Arial" w:hAnsi="Arial"/>
          <w:color w:val="1A1A1A"/>
          <w:sz w:val="22"/>
          <w:szCs w:val="22"/>
        </w:rPr>
        <w:t xml:space="preserve">Directory of all startups enrolled in or graduated from Incubator Baguio</w:t>
      </w:r>
    </w:p>
    <w:p>
      <w:pPr>
        <w:pStyle w:val="ListParagraph"/>
        <w:numPr>
          <w:ilvl w:val="0"/>
          <w:numId w:val="2"/>
        </w:numPr>
        <w:spacing w:after="80"/>
      </w:pPr>
      <w:r>
        <w:rPr>
          <w:rFonts w:ascii="Arial" w:cs="Arial" w:eastAsia="Arial" w:hAnsi="Arial"/>
          <w:color w:val="1A1A1A"/>
          <w:sz w:val="22"/>
          <w:szCs w:val="22"/>
        </w:rPr>
        <w:t xml:space="preserve">Each startup profile: name, logo, tagline, founding year, sector/industry, stage, founder names, brief description, social/website links</w:t>
      </w:r>
    </w:p>
    <w:p>
      <w:pPr>
        <w:pStyle w:val="ListParagraph"/>
        <w:numPr>
          <w:ilvl w:val="0"/>
          <w:numId w:val="2"/>
        </w:numPr>
        <w:spacing w:after="80"/>
      </w:pPr>
      <w:r>
        <w:rPr>
          <w:rFonts w:ascii="Arial" w:cs="Arial" w:eastAsia="Arial" w:hAnsi="Arial"/>
          <w:color w:val="1A1A1A"/>
          <w:sz w:val="22"/>
          <w:szCs w:val="22"/>
        </w:rPr>
        <w:t xml:space="preserve">Filter by: sector, incubation stage (active/graduated), cohort year, SDG area</w:t>
      </w:r>
    </w:p>
    <w:p>
      <w:pPr>
        <w:pStyle w:val="ListParagraph"/>
        <w:numPr>
          <w:ilvl w:val="0"/>
          <w:numId w:val="2"/>
        </w:numPr>
        <w:spacing w:after="80"/>
      </w:pPr>
      <w:r>
        <w:rPr>
          <w:rFonts w:ascii="Arial" w:cs="Arial" w:eastAsia="Arial" w:hAnsi="Arial"/>
          <w:color w:val="1A1A1A"/>
          <w:sz w:val="22"/>
          <w:szCs w:val="22"/>
        </w:rPr>
        <w:t xml:space="preserve">Success story badge for standout startups</w:t>
      </w:r>
    </w:p>
    <w:p>
      <w:pPr>
        <w:pStyle w:val="ListParagraph"/>
        <w:numPr>
          <w:ilvl w:val="0"/>
          <w:numId w:val="2"/>
        </w:numPr>
        <w:spacing w:after="80"/>
      </w:pPr>
      <w:r>
        <w:rPr>
          <w:rFonts w:ascii="Arial" w:cs="Arial" w:eastAsia="Arial" w:hAnsi="Arial"/>
          <w:color w:val="1A1A1A"/>
          <w:sz w:val="22"/>
          <w:szCs w:val="22"/>
        </w:rPr>
        <w:t xml:space="preserve">Admin-editable; startups can submit profile updates via a form</w:t>
      </w:r>
    </w:p>
    <w:p>
      <w:pPr>
        <w:spacing w:after="120"/>
      </w:pPr>
      <w:r>
        <w:t xml:space="preserve"/>
      </w:r>
    </w:p>
    <w:p>
      <w:pPr>
        <w:pStyle w:val="Heading3"/>
        <w:spacing w:after="80" w:before="200"/>
      </w:pPr>
      <w:r>
        <w:rPr>
          <w:rFonts w:ascii="Arial" w:cs="Arial" w:eastAsia="Arial" w:hAnsi="Arial"/>
          <w:b/>
          <w:bCs/>
          <w:color w:val="2E7D6F"/>
          <w:sz w:val="24"/>
          <w:szCs w:val="24"/>
        </w:rPr>
        <w:t xml:space="preserve">Partner Directory</w:t>
      </w:r>
    </w:p>
    <w:p>
      <w:pPr>
        <w:pStyle w:val="ListParagraph"/>
        <w:numPr>
          <w:ilvl w:val="0"/>
          <w:numId w:val="2"/>
        </w:numPr>
        <w:spacing w:after="80"/>
      </w:pPr>
      <w:r>
        <w:rPr>
          <w:rFonts w:ascii="Arial" w:cs="Arial" w:eastAsia="Arial" w:hAnsi="Arial"/>
          <w:color w:val="1A1A1A"/>
          <w:sz w:val="22"/>
          <w:szCs w:val="22"/>
        </w:rPr>
        <w:t xml:space="preserve">All alliance members organized by sector: HEIs, National Agencies, Industry/Business, Civil Society</w:t>
      </w:r>
    </w:p>
    <w:p>
      <w:pPr>
        <w:pStyle w:val="ListParagraph"/>
        <w:numPr>
          <w:ilvl w:val="0"/>
          <w:numId w:val="2"/>
        </w:numPr>
        <w:spacing w:after="80"/>
      </w:pPr>
      <w:r>
        <w:rPr>
          <w:rFonts w:ascii="Arial" w:cs="Arial" w:eastAsia="Arial" w:hAnsi="Arial"/>
          <w:color w:val="1A1A1A"/>
          <w:sz w:val="22"/>
          <w:szCs w:val="22"/>
        </w:rPr>
        <w:t xml:space="preserve">Each entry: logo, name, type, brief description, website link, partnership type (MOA signed, MOU, active collaboration)</w:t>
      </w:r>
    </w:p>
    <w:p>
      <w:pPr>
        <w:spacing w:after="120"/>
      </w:pPr>
      <w:r>
        <w:t xml:space="preserve"/>
      </w:r>
    </w:p>
    <w:p>
      <w:pPr>
        <w:pStyle w:val="Heading3"/>
        <w:spacing w:after="80" w:before="200"/>
      </w:pPr>
      <w:r>
        <w:rPr>
          <w:rFonts w:ascii="Arial" w:cs="Arial" w:eastAsia="Arial" w:hAnsi="Arial"/>
          <w:b/>
          <w:bCs/>
          <w:color w:val="2E7D6F"/>
          <w:sz w:val="24"/>
          <w:szCs w:val="24"/>
        </w:rPr>
        <w:t xml:space="preserve">Ecosystem Map (Interactive)</w:t>
      </w:r>
    </w:p>
    <w:p>
      <w:pPr>
        <w:pStyle w:val="ListParagraph"/>
        <w:numPr>
          <w:ilvl w:val="0"/>
          <w:numId w:val="2"/>
        </w:numPr>
        <w:spacing w:after="80"/>
      </w:pPr>
      <w:r>
        <w:rPr>
          <w:rFonts w:ascii="Arial" w:cs="Arial" w:eastAsia="Arial" w:hAnsi="Arial"/>
          <w:color w:val="1A1A1A"/>
          <w:sz w:val="22"/>
          <w:szCs w:val="22"/>
        </w:rPr>
        <w:t xml:space="preserve">Visual diagram of the quadruple helix: Government, Academe, Industry, Civil Society</w:t>
      </w:r>
    </w:p>
    <w:p>
      <w:pPr>
        <w:pStyle w:val="ListParagraph"/>
        <w:numPr>
          <w:ilvl w:val="0"/>
          <w:numId w:val="2"/>
        </w:numPr>
        <w:spacing w:after="80"/>
      </w:pPr>
      <w:r>
        <w:rPr>
          <w:rFonts w:ascii="Arial" w:cs="Arial" w:eastAsia="Arial" w:hAnsi="Arial"/>
          <w:color w:val="1A1A1A"/>
          <w:sz w:val="22"/>
          <w:szCs w:val="22"/>
        </w:rPr>
        <w:t xml:space="preserve">Clickable nodes linking to partner profiles</w:t>
      </w:r>
    </w:p>
    <w:p>
      <w:pPr>
        <w:pStyle w:val="ListParagraph"/>
        <w:numPr>
          <w:ilvl w:val="0"/>
          <w:numId w:val="2"/>
        </w:numPr>
        <w:spacing w:after="80"/>
      </w:pPr>
      <w:r>
        <w:rPr>
          <w:rFonts w:ascii="Arial" w:cs="Arial" w:eastAsia="Arial" w:hAnsi="Arial"/>
          <w:color w:val="1A1A1A"/>
          <w:sz w:val="22"/>
          <w:szCs w:val="22"/>
        </w:rPr>
        <w:t xml:space="preserve">Highlights active collaborations and program connections</w:t>
      </w:r>
    </w:p>
    <w:p>
      <w:pPr>
        <w:pStyle w:val="ListParagraph"/>
        <w:numPr>
          <w:ilvl w:val="0"/>
          <w:numId w:val="2"/>
        </w:numPr>
        <w:spacing w:after="80"/>
      </w:pPr>
      <w:r>
        <w:rPr>
          <w:rFonts w:ascii="Arial" w:cs="Arial" w:eastAsia="Arial" w:hAnsi="Arial"/>
          <w:color w:val="1A1A1A"/>
          <w:sz w:val="22"/>
          <w:szCs w:val="22"/>
        </w:rPr>
        <w:t xml:space="preserve">Optional Phase 2 feature if interactive map requires significant dev resource</w:t>
      </w:r>
    </w:p>
    <w:p>
      <w:pPr>
        <w:spacing w:after="120"/>
      </w:pPr>
      <w:r>
        <w:t xml:space="preserve"/>
      </w:r>
    </w:p>
    <w:p>
      <w:pPr>
        <w:pStyle w:val="Heading3"/>
        <w:spacing w:after="80" w:before="200"/>
      </w:pPr>
      <w:r>
        <w:rPr>
          <w:rFonts w:ascii="Arial" w:cs="Arial" w:eastAsia="Arial" w:hAnsi="Arial"/>
          <w:b/>
          <w:bCs/>
          <w:color w:val="2E7D6F"/>
          <w:sz w:val="24"/>
          <w:szCs w:val="24"/>
        </w:rPr>
        <w:t xml:space="preserve">Funding Opportunities</w:t>
      </w:r>
    </w:p>
    <w:p>
      <w:pPr>
        <w:pStyle w:val="ListParagraph"/>
        <w:numPr>
          <w:ilvl w:val="0"/>
          <w:numId w:val="2"/>
        </w:numPr>
        <w:spacing w:after="80"/>
      </w:pPr>
      <w:r>
        <w:rPr>
          <w:rFonts w:ascii="Arial" w:cs="Arial" w:eastAsia="Arial" w:hAnsi="Arial"/>
          <w:color w:val="1A1A1A"/>
          <w:sz w:val="22"/>
          <w:szCs w:val="22"/>
        </w:rPr>
        <w:t xml:space="preserve">Aggregated list of available grants, innovation funds, and investor programs for Baguio-based startups</w:t>
      </w:r>
    </w:p>
    <w:p>
      <w:pPr>
        <w:pStyle w:val="ListParagraph"/>
        <w:numPr>
          <w:ilvl w:val="0"/>
          <w:numId w:val="2"/>
        </w:numPr>
        <w:spacing w:after="80"/>
      </w:pPr>
      <w:r>
        <w:rPr>
          <w:rFonts w:ascii="Arial" w:cs="Arial" w:eastAsia="Arial" w:hAnsi="Arial"/>
          <w:color w:val="1A1A1A"/>
          <w:sz w:val="22"/>
          <w:szCs w:val="22"/>
        </w:rPr>
        <w:t xml:space="preserve">Includes: DOST grants, DTI programs, Incubator Baguio Innovation Fund, PEZA incentives, partner corporate programs</w:t>
      </w:r>
    </w:p>
    <w:p>
      <w:pPr>
        <w:pStyle w:val="ListParagraph"/>
        <w:numPr>
          <w:ilvl w:val="0"/>
          <w:numId w:val="2"/>
        </w:numPr>
        <w:spacing w:after="80"/>
      </w:pPr>
      <w:r>
        <w:rPr>
          <w:rFonts w:ascii="Arial" w:cs="Arial" w:eastAsia="Arial" w:hAnsi="Arial"/>
          <w:color w:val="1A1A1A"/>
          <w:sz w:val="22"/>
          <w:szCs w:val="22"/>
        </w:rPr>
        <w:t xml:space="preserve">Each listing: funder, amount range, eligibility, deadline, link</w:t>
      </w:r>
    </w:p>
    <w:p>
      <w:pPr>
        <w:pStyle w:val="ListParagraph"/>
        <w:numPr>
          <w:ilvl w:val="0"/>
          <w:numId w:val="2"/>
        </w:numPr>
        <w:spacing w:after="80"/>
      </w:pPr>
      <w:r>
        <w:rPr>
          <w:rFonts w:ascii="Arial" w:cs="Arial" w:eastAsia="Arial" w:hAnsi="Arial"/>
          <w:color w:val="1A1A1A"/>
          <w:sz w:val="22"/>
          <w:szCs w:val="22"/>
        </w:rPr>
        <w:t xml:space="preserve">Admin-maintained and regularly updated</w:t>
      </w:r>
    </w:p>
    <w:p>
      <w:pPr>
        <w:spacing w:after="120"/>
      </w:pPr>
      <w:r>
        <w:t xml:space="preserve"/>
      </w:r>
    </w:p>
    <w:p>
      <w:pPr>
        <w:pStyle w:val="Heading3"/>
        <w:spacing w:after="80" w:before="200"/>
      </w:pPr>
      <w:r>
        <w:rPr>
          <w:rFonts w:ascii="Arial" w:cs="Arial" w:eastAsia="Arial" w:hAnsi="Arial"/>
          <w:b/>
          <w:bCs/>
          <w:color w:val="2E7D6F"/>
          <w:sz w:val="24"/>
          <w:szCs w:val="24"/>
        </w:rPr>
        <w:t xml:space="preserve">Mentor Network</w:t>
      </w:r>
    </w:p>
    <w:p>
      <w:pPr>
        <w:pStyle w:val="ListParagraph"/>
        <w:numPr>
          <w:ilvl w:val="0"/>
          <w:numId w:val="2"/>
        </w:numPr>
        <w:spacing w:after="80"/>
      </w:pPr>
      <w:r>
        <w:rPr>
          <w:rFonts w:ascii="Arial" w:cs="Arial" w:eastAsia="Arial" w:hAnsi="Arial"/>
          <w:color w:val="1A1A1A"/>
          <w:sz w:val="22"/>
          <w:szCs w:val="22"/>
        </w:rPr>
        <w:t xml:space="preserve">Directory of registered mentors with: photo, name, organization, expertise areas, availability status</w:t>
      </w:r>
    </w:p>
    <w:p>
      <w:pPr>
        <w:pStyle w:val="ListParagraph"/>
        <w:numPr>
          <w:ilvl w:val="0"/>
          <w:numId w:val="2"/>
        </w:numPr>
        <w:spacing w:after="80"/>
      </w:pPr>
      <w:r>
        <w:rPr>
          <w:rFonts w:ascii="Arial" w:cs="Arial" w:eastAsia="Arial" w:hAnsi="Arial"/>
          <w:color w:val="1A1A1A"/>
          <w:sz w:val="22"/>
          <w:szCs w:val="22"/>
        </w:rPr>
        <w:t xml:space="preserve">Startups can browse; matching done administratively (no direct messaging in Phase 1)</w:t>
      </w:r>
    </w:p>
    <w:p>
      <w:pPr>
        <w:spacing w:after="240"/>
      </w:pPr>
      <w:r>
        <w:t xml:space="preserve"/>
      </w:r>
    </w:p>
    <w:p>
      <w:pPr>
        <w:pStyle w:val="Heading2"/>
        <w:spacing w:after="100" w:before="280"/>
      </w:pPr>
      <w:r>
        <w:rPr>
          <w:rFonts w:ascii="Arial" w:cs="Arial" w:eastAsia="Arial" w:hAnsi="Arial"/>
          <w:b/>
          <w:bCs/>
          <w:color w:val="1B3A6B"/>
          <w:sz w:val="28"/>
          <w:szCs w:val="28"/>
        </w:rPr>
        <w:t xml:space="preserve">6.8 News &amp;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Feature</w:t>
            </w:r>
          </w:p>
        </w:tc>
        <w:tc>
          <w:tcPr>
            <w:tcW w:type="dxa" w:w="6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Description</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Announcements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Official announcements from Incubator Baguio and City Government. Tagged by program/category. Featured announcement banner on homepage.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News Articles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Blog-style posts about ecosystem developments, partner activities, startup milestones, and policy updates. CMS-managed with rich text, images, and tags.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Press Coverage</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Curated list of media mentions with publication name, date, headline, and link. Shows ecosystem credibility.</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Photo &amp; Video Gallery</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Organized by event. Photos with captions; videos embedded from YouTube/Facebook. Downloadable for media use.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Annual Reports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Downloadable PDF annual reports. Each linked from the Knowledge Hub Publications module as well.</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6.9 Admin Portal</w:t>
      </w:r>
    </w:p>
    <w:p>
      <w:pPr>
        <w:spacing w:after="120" w:line="300"/>
      </w:pPr>
      <w:r>
        <w:rPr>
          <w:rFonts w:ascii="Arial" w:cs="Arial" w:eastAsia="Arial" w:hAnsi="Arial"/>
          <w:color w:val="1A1A1A"/>
          <w:sz w:val="22"/>
          <w:szCs w:val="22"/>
        </w:rPr>
        <w:t xml:space="preserve">Role-based internal management interface, accessible only to authenticated CPDSO and partner staff.</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Module</w:t>
            </w:r>
          </w:p>
        </w:tc>
        <w:tc>
          <w:tcPr>
            <w:tcW w:type="dxa" w:w="6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Capabilities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Dashboard</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Overview: total applications, active cohorts, upcoming events, knowledge submissions pending review, partner count, traffic analytics summary</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Application Management</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View, filter, sort, and export all applications. Update status (pending / under review / accepted / rejected / waitlisted). Add internal notes. Trigger email notifications.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Event Management</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Create and manage events: set title, date, venue, capacity, registration form, speakers. Export attendee lists. Generate QR codes. Post-event: publish recap and archive.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Knowledge Hub Curation</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Review and approve research submissions. Add tags, categorize by priority area, set access level. Manage publications and toolkits.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Portfolio</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Add, edit, archive startup profiles. Assign cohort, stage, mentor. Track milestones.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Partner Management</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Add/edit partner profiles. Track MOA status and renewal dates. Assign sector.</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Content Management</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CMS for all pages, news, resources. WYSIWYG editor. Media library. Version history. Draft/publish workflow.</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User &amp; Role Management</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Create and manage admin accounts. Assign roles and access levels. Activity log.</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Reporting</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Generate quarterly and annual reports: program KPIs, event attendance, application metrics, startup milestones. Export to Excel/PDF.</w:t>
            </w:r>
          </w:p>
        </w:tc>
      </w:tr>
    </w:tbl>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7. Technical Requirements</w:t>
      </w:r>
    </w:p>
    <w:p>
      <w:pPr>
        <w:pStyle w:val="Heading2"/>
        <w:spacing w:after="100" w:before="280"/>
      </w:pPr>
      <w:r>
        <w:rPr>
          <w:rFonts w:ascii="Arial" w:cs="Arial" w:eastAsia="Arial" w:hAnsi="Arial"/>
          <w:b/>
          <w:bCs/>
          <w:color w:val="1B3A6B"/>
          <w:sz w:val="28"/>
          <w:szCs w:val="28"/>
        </w:rPr>
        <w:t xml:space="preserve">7.1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Layer</w:t>
            </w:r>
          </w:p>
        </w:tc>
        <w:tc>
          <w:tcPr>
            <w:tcW w:type="dxa" w:w="3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Recommended Option</w:t>
            </w:r>
          </w:p>
        </w:tc>
        <w:tc>
          <w:tcPr>
            <w:tcW w:type="dxa" w:w="343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Rationale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CMS / Backend</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WordPress with custom theme, OR Payload CMS / Directus (headless)</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Government orgs need familiar CMS for long-term content management without developer dependency</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Frontend Framework</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Next.js (React) or Astro (if static-first)</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SEO-friendly, fast, supports both SSR and SSG for performance</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Database</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PostgreSQL</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Robust, open-source, suitable for research/knowledge database with complex queries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Hosting</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Government cloud (DICT GovCloud) preferred; alternatively AWS or Azure Philippines region</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Data sovereignty, DICT compliance, uptime SLA</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Search</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Meilisearch or Algolia (Knowledge Hub)</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Fast full-text search for research database with filters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Email Service</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Resend, Postmark, or Mailchimp (for newsletters)</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Reliable transactional and marketing email delivery</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Authentication</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Auth.js / Supabase Auth / Keycloak</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Secure multi-role access for applicants and admin portal</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File Storage</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AWS S3 or local MinIO for self-hosted</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document and media file uploads</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Analytics</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Plausible (privacy-first) or Google Analytics 4</w:t>
            </w:r>
          </w:p>
        </w:tc>
        <w:tc>
          <w:tcPr>
            <w:tcW w:type="dxa" w:w="343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Track traffic, popular pages, event registrations, application funnel</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7.2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Metric</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Target</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Page Load Speed (LCP)</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&lt; 2.5 seconds on 3G mobile (Core Web Vitals: Good)</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First Contentful Paint (FCP)</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&lt; 1.8 seconds</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Cumulative Layout Shift (CLS)</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&lt; 0.1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Uptime SLA</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99.5% minimum; 99.9% target (critical during Innovation Startup Week)</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Concurrent Users</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Support 500+ simultaneous users during Innovation Camp registration and Startup Week events</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Search Response Time</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&lt; 500ms for Knowledge Hub search results</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Form Submission</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&lt; 3 seconds for form processing and confirmation</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7.3 Security Requirements</w:t>
      </w:r>
    </w:p>
    <w:p>
      <w:pPr>
        <w:pStyle w:val="ListParagraph"/>
        <w:numPr>
          <w:ilvl w:val="0"/>
          <w:numId w:val="2"/>
        </w:numPr>
        <w:spacing w:after="80"/>
      </w:pPr>
      <w:r>
        <w:rPr>
          <w:rFonts w:ascii="Arial" w:cs="Arial" w:eastAsia="Arial" w:hAnsi="Arial"/>
          <w:color w:val="1A1A1A"/>
          <w:sz w:val="22"/>
          <w:szCs w:val="22"/>
        </w:rPr>
        <w:t xml:space="preserve">HTTPS enforced on all pages (SSL/TLS certificate mandatory)</w:t>
      </w:r>
    </w:p>
    <w:p>
      <w:pPr>
        <w:pStyle w:val="ListParagraph"/>
        <w:numPr>
          <w:ilvl w:val="0"/>
          <w:numId w:val="2"/>
        </w:numPr>
        <w:spacing w:after="80"/>
      </w:pPr>
      <w:r>
        <w:rPr>
          <w:rFonts w:ascii="Arial" w:cs="Arial" w:eastAsia="Arial" w:hAnsi="Arial"/>
          <w:color w:val="1A1A1A"/>
          <w:sz w:val="22"/>
          <w:szCs w:val="22"/>
        </w:rPr>
        <w:t xml:space="preserve">Admin portal protected by multi-factor authentication (MFA)</w:t>
      </w:r>
    </w:p>
    <w:p>
      <w:pPr>
        <w:pStyle w:val="ListParagraph"/>
        <w:numPr>
          <w:ilvl w:val="0"/>
          <w:numId w:val="2"/>
        </w:numPr>
        <w:spacing w:after="80"/>
      </w:pPr>
      <w:r>
        <w:rPr>
          <w:rFonts w:ascii="Arial" w:cs="Arial" w:eastAsia="Arial" w:hAnsi="Arial"/>
          <w:color w:val="1A1A1A"/>
          <w:sz w:val="22"/>
          <w:szCs w:val="22"/>
        </w:rPr>
        <w:t xml:space="preserve">Role-based access control (RBAC) for all admin functions</w:t>
      </w:r>
    </w:p>
    <w:p>
      <w:pPr>
        <w:pStyle w:val="ListParagraph"/>
        <w:numPr>
          <w:ilvl w:val="0"/>
          <w:numId w:val="2"/>
        </w:numPr>
        <w:spacing w:after="80"/>
      </w:pPr>
      <w:r>
        <w:rPr>
          <w:rFonts w:ascii="Arial" w:cs="Arial" w:eastAsia="Arial" w:hAnsi="Arial"/>
          <w:color w:val="1A1A1A"/>
          <w:sz w:val="22"/>
          <w:szCs w:val="22"/>
        </w:rPr>
        <w:t xml:space="preserve">Input validation and sanitization on all forms to prevent XSS and SQL injection</w:t>
      </w:r>
    </w:p>
    <w:p>
      <w:pPr>
        <w:pStyle w:val="ListParagraph"/>
        <w:numPr>
          <w:ilvl w:val="0"/>
          <w:numId w:val="2"/>
        </w:numPr>
        <w:spacing w:after="80"/>
      </w:pPr>
      <w:r>
        <w:rPr>
          <w:rFonts w:ascii="Arial" w:cs="Arial" w:eastAsia="Arial" w:hAnsi="Arial"/>
          <w:color w:val="1A1A1A"/>
          <w:sz w:val="22"/>
          <w:szCs w:val="22"/>
        </w:rPr>
        <w:t xml:space="preserve">File upload scanning for malware on document submissions</w:t>
      </w:r>
    </w:p>
    <w:p>
      <w:pPr>
        <w:pStyle w:val="ListParagraph"/>
        <w:numPr>
          <w:ilvl w:val="0"/>
          <w:numId w:val="2"/>
        </w:numPr>
        <w:spacing w:after="80"/>
      </w:pPr>
      <w:r>
        <w:rPr>
          <w:rFonts w:ascii="Arial" w:cs="Arial" w:eastAsia="Arial" w:hAnsi="Arial"/>
          <w:color w:val="1A1A1A"/>
          <w:sz w:val="22"/>
          <w:szCs w:val="22"/>
        </w:rPr>
        <w:t xml:space="preserve">Rate limiting on all form submissions and API endpoints</w:t>
      </w:r>
    </w:p>
    <w:p>
      <w:pPr>
        <w:pStyle w:val="ListParagraph"/>
        <w:numPr>
          <w:ilvl w:val="0"/>
          <w:numId w:val="2"/>
        </w:numPr>
        <w:spacing w:after="80"/>
      </w:pPr>
      <w:r>
        <w:rPr>
          <w:rFonts w:ascii="Arial" w:cs="Arial" w:eastAsia="Arial" w:hAnsi="Arial"/>
          <w:color w:val="1A1A1A"/>
          <w:sz w:val="22"/>
          <w:szCs w:val="22"/>
        </w:rPr>
        <w:t xml:space="preserve">Data privacy compliance with the Philippine Data Privacy Act (RA 10173)</w:t>
      </w:r>
    </w:p>
    <w:p>
      <w:pPr>
        <w:pStyle w:val="ListParagraph"/>
        <w:numPr>
          <w:ilvl w:val="0"/>
          <w:numId w:val="2"/>
        </w:numPr>
        <w:spacing w:after="80"/>
      </w:pPr>
      <w:r>
        <w:rPr>
          <w:rFonts w:ascii="Arial" w:cs="Arial" w:eastAsia="Arial" w:hAnsi="Arial"/>
          <w:color w:val="1A1A1A"/>
          <w:sz w:val="22"/>
          <w:szCs w:val="22"/>
        </w:rPr>
        <w:t xml:space="preserve">Consent checkbox and privacy policy link on all forms collecting personal data</w:t>
      </w:r>
    </w:p>
    <w:p>
      <w:pPr>
        <w:pStyle w:val="ListParagraph"/>
        <w:numPr>
          <w:ilvl w:val="0"/>
          <w:numId w:val="2"/>
        </w:numPr>
        <w:spacing w:after="80"/>
      </w:pPr>
      <w:r>
        <w:rPr>
          <w:rFonts w:ascii="Arial" w:cs="Arial" w:eastAsia="Arial" w:hAnsi="Arial"/>
          <w:color w:val="1A1A1A"/>
          <w:sz w:val="22"/>
          <w:szCs w:val="22"/>
        </w:rPr>
        <w:t xml:space="preserve">Regular security audits and vulnerability assessments (quarterly)</w:t>
      </w:r>
    </w:p>
    <w:p>
      <w:pPr>
        <w:pStyle w:val="ListParagraph"/>
        <w:numPr>
          <w:ilvl w:val="0"/>
          <w:numId w:val="2"/>
        </w:numPr>
        <w:spacing w:after="80"/>
      </w:pPr>
      <w:r>
        <w:rPr>
          <w:rFonts w:ascii="Arial" w:cs="Arial" w:eastAsia="Arial" w:hAnsi="Arial"/>
          <w:color w:val="1A1A1A"/>
          <w:sz w:val="22"/>
          <w:szCs w:val="22"/>
        </w:rPr>
        <w:t xml:space="preserve">Backup: automated daily database backups with 30-day retention</w:t>
      </w:r>
    </w:p>
    <w:p>
      <w:pPr>
        <w:spacing w:after="240"/>
      </w:pPr>
      <w:r>
        <w:t xml:space="preserve"/>
      </w:r>
    </w:p>
    <w:p>
      <w:pPr>
        <w:pStyle w:val="Heading2"/>
        <w:spacing w:after="100" w:before="280"/>
      </w:pPr>
      <w:r>
        <w:rPr>
          <w:rFonts w:ascii="Arial" w:cs="Arial" w:eastAsia="Arial" w:hAnsi="Arial"/>
          <w:b/>
          <w:bCs/>
          <w:color w:val="1B3A6B"/>
          <w:sz w:val="28"/>
          <w:szCs w:val="28"/>
        </w:rPr>
        <w:t xml:space="preserve">7.4 Accessibility Requirements</w:t>
      </w:r>
    </w:p>
    <w:p>
      <w:pPr>
        <w:pStyle w:val="ListParagraph"/>
        <w:numPr>
          <w:ilvl w:val="0"/>
          <w:numId w:val="2"/>
        </w:numPr>
        <w:spacing w:after="80"/>
      </w:pPr>
      <w:r>
        <w:rPr>
          <w:rFonts w:ascii="Arial" w:cs="Arial" w:eastAsia="Arial" w:hAnsi="Arial"/>
          <w:color w:val="1A1A1A"/>
          <w:sz w:val="22"/>
          <w:szCs w:val="22"/>
        </w:rPr>
        <w:t xml:space="preserve">WCAG 2.1 Level AA compliance across all public-facing pages</w:t>
      </w:r>
    </w:p>
    <w:p>
      <w:pPr>
        <w:pStyle w:val="ListParagraph"/>
        <w:numPr>
          <w:ilvl w:val="0"/>
          <w:numId w:val="2"/>
        </w:numPr>
        <w:spacing w:after="80"/>
      </w:pPr>
      <w:r>
        <w:rPr>
          <w:rFonts w:ascii="Arial" w:cs="Arial" w:eastAsia="Arial" w:hAnsi="Arial"/>
          <w:color w:val="1A1A1A"/>
          <w:sz w:val="22"/>
          <w:szCs w:val="22"/>
        </w:rPr>
        <w:t xml:space="preserve">All images must have descriptive alt text</w:t>
      </w:r>
    </w:p>
    <w:p>
      <w:pPr>
        <w:pStyle w:val="ListParagraph"/>
        <w:numPr>
          <w:ilvl w:val="0"/>
          <w:numId w:val="2"/>
        </w:numPr>
        <w:spacing w:after="80"/>
      </w:pPr>
      <w:r>
        <w:rPr>
          <w:rFonts w:ascii="Arial" w:cs="Arial" w:eastAsia="Arial" w:hAnsi="Arial"/>
          <w:color w:val="1A1A1A"/>
          <w:sz w:val="22"/>
          <w:szCs w:val="22"/>
        </w:rPr>
        <w:t xml:space="preserve">All forms must have associated labels and ARIA attributes</w:t>
      </w:r>
    </w:p>
    <w:p>
      <w:pPr>
        <w:pStyle w:val="ListParagraph"/>
        <w:numPr>
          <w:ilvl w:val="0"/>
          <w:numId w:val="2"/>
        </w:numPr>
        <w:spacing w:after="80"/>
      </w:pPr>
      <w:r>
        <w:rPr>
          <w:rFonts w:ascii="Arial" w:cs="Arial" w:eastAsia="Arial" w:hAnsi="Arial"/>
          <w:color w:val="1A1A1A"/>
          <w:sz w:val="22"/>
          <w:szCs w:val="22"/>
        </w:rPr>
        <w:t xml:space="preserve">Color contrast ratio minimum 4.5:1 for normal text, 3:1 for large text</w:t>
      </w:r>
    </w:p>
    <w:p>
      <w:pPr>
        <w:pStyle w:val="ListParagraph"/>
        <w:numPr>
          <w:ilvl w:val="0"/>
          <w:numId w:val="2"/>
        </w:numPr>
        <w:spacing w:after="80"/>
      </w:pPr>
      <w:r>
        <w:rPr>
          <w:rFonts w:ascii="Arial" w:cs="Arial" w:eastAsia="Arial" w:hAnsi="Arial"/>
          <w:color w:val="1A1A1A"/>
          <w:sz w:val="22"/>
          <w:szCs w:val="22"/>
        </w:rPr>
        <w:t xml:space="preserve">Keyboard-navigable interface (no mouse-only interactions)</w:t>
      </w:r>
    </w:p>
    <w:p>
      <w:pPr>
        <w:pStyle w:val="ListParagraph"/>
        <w:numPr>
          <w:ilvl w:val="0"/>
          <w:numId w:val="2"/>
        </w:numPr>
        <w:spacing w:after="80"/>
      </w:pPr>
      <w:r>
        <w:rPr>
          <w:rFonts w:ascii="Arial" w:cs="Arial" w:eastAsia="Arial" w:hAnsi="Arial"/>
          <w:color w:val="1A1A1A"/>
          <w:sz w:val="22"/>
          <w:szCs w:val="22"/>
        </w:rPr>
        <w:t xml:space="preserve">Screen reader compatibility tested with NVDA and VoiceOver</w:t>
      </w:r>
    </w:p>
    <w:p>
      <w:pPr>
        <w:pStyle w:val="ListParagraph"/>
        <w:numPr>
          <w:ilvl w:val="0"/>
          <w:numId w:val="2"/>
        </w:numPr>
        <w:spacing w:after="80"/>
      </w:pPr>
      <w:r>
        <w:rPr>
          <w:rFonts w:ascii="Arial" w:cs="Arial" w:eastAsia="Arial" w:hAnsi="Arial"/>
          <w:color w:val="1A1A1A"/>
          <w:sz w:val="22"/>
          <w:szCs w:val="22"/>
        </w:rPr>
        <w:t xml:space="preserve">Filipino and English bilingual support (bilingual toggle at minimum for key pages)</w:t>
      </w:r>
    </w:p>
    <w:p>
      <w:pPr>
        <w:spacing w:after="240"/>
      </w:pPr>
      <w:r>
        <w:t xml:space="preserve"/>
      </w:r>
    </w:p>
    <w:p>
      <w:pPr>
        <w:pStyle w:val="Heading2"/>
        <w:spacing w:after="100" w:before="280"/>
      </w:pPr>
      <w:r>
        <w:rPr>
          <w:rFonts w:ascii="Arial" w:cs="Arial" w:eastAsia="Arial" w:hAnsi="Arial"/>
          <w:b/>
          <w:bCs/>
          <w:color w:val="1B3A6B"/>
          <w:sz w:val="28"/>
          <w:szCs w:val="28"/>
        </w:rPr>
        <w:t xml:space="preserve">7.5 SEO Requirements</w:t>
      </w:r>
    </w:p>
    <w:p>
      <w:pPr>
        <w:pStyle w:val="ListParagraph"/>
        <w:numPr>
          <w:ilvl w:val="0"/>
          <w:numId w:val="2"/>
        </w:numPr>
        <w:spacing w:after="80"/>
      </w:pPr>
      <w:r>
        <w:rPr>
          <w:rFonts w:ascii="Arial" w:cs="Arial" w:eastAsia="Arial" w:hAnsi="Arial"/>
          <w:color w:val="1A1A1A"/>
          <w:sz w:val="22"/>
          <w:szCs w:val="22"/>
        </w:rPr>
        <w:t xml:space="preserve">Server-side rendering (SSR) or static site generation (SSG) for all public pages</w:t>
      </w:r>
    </w:p>
    <w:p>
      <w:pPr>
        <w:pStyle w:val="ListParagraph"/>
        <w:numPr>
          <w:ilvl w:val="0"/>
          <w:numId w:val="2"/>
        </w:numPr>
        <w:spacing w:after="80"/>
      </w:pPr>
      <w:r>
        <w:rPr>
          <w:rFonts w:ascii="Arial" w:cs="Arial" w:eastAsia="Arial" w:hAnsi="Arial"/>
          <w:color w:val="1A1A1A"/>
          <w:sz w:val="22"/>
          <w:szCs w:val="22"/>
        </w:rPr>
        <w:t xml:space="preserve">Structured data markup (Schema.org): Organization, Event, Article, FAQPage</w:t>
      </w:r>
    </w:p>
    <w:p>
      <w:pPr>
        <w:pStyle w:val="ListParagraph"/>
        <w:numPr>
          <w:ilvl w:val="0"/>
          <w:numId w:val="2"/>
        </w:numPr>
        <w:spacing w:after="80"/>
      </w:pPr>
      <w:r>
        <w:rPr>
          <w:rFonts w:ascii="Arial" w:cs="Arial" w:eastAsia="Arial" w:hAnsi="Arial"/>
          <w:color w:val="1A1A1A"/>
          <w:sz w:val="22"/>
          <w:szCs w:val="22"/>
        </w:rPr>
        <w:t xml:space="preserve">Open Graph and Twitter Card meta tags on all pages</w:t>
      </w:r>
    </w:p>
    <w:p>
      <w:pPr>
        <w:pStyle w:val="ListParagraph"/>
        <w:numPr>
          <w:ilvl w:val="0"/>
          <w:numId w:val="2"/>
        </w:numPr>
        <w:spacing w:after="80"/>
      </w:pPr>
      <w:r>
        <w:rPr>
          <w:rFonts w:ascii="Arial" w:cs="Arial" w:eastAsia="Arial" w:hAnsi="Arial"/>
          <w:color w:val="1A1A1A"/>
          <w:sz w:val="22"/>
          <w:szCs w:val="22"/>
        </w:rPr>
        <w:t xml:space="preserve">XML sitemap auto-generated and submitted to Google Search Console</w:t>
      </w:r>
    </w:p>
    <w:p>
      <w:pPr>
        <w:pStyle w:val="ListParagraph"/>
        <w:numPr>
          <w:ilvl w:val="0"/>
          <w:numId w:val="2"/>
        </w:numPr>
        <w:spacing w:after="80"/>
      </w:pPr>
      <w:r>
        <w:rPr>
          <w:rFonts w:ascii="Arial" w:cs="Arial" w:eastAsia="Arial" w:hAnsi="Arial"/>
          <w:color w:val="1A1A1A"/>
          <w:sz w:val="22"/>
          <w:szCs w:val="22"/>
        </w:rPr>
        <w:t xml:space="preserve">Clean, semantic URL structure (e.g., /programs/innovation-camp, /apply/startup)</w:t>
      </w:r>
    </w:p>
    <w:p>
      <w:pPr>
        <w:pStyle w:val="ListParagraph"/>
        <w:numPr>
          <w:ilvl w:val="0"/>
          <w:numId w:val="2"/>
        </w:numPr>
        <w:spacing w:after="80"/>
      </w:pPr>
      <w:r>
        <w:rPr>
          <w:rFonts w:ascii="Arial" w:cs="Arial" w:eastAsia="Arial" w:hAnsi="Arial"/>
          <w:color w:val="1A1A1A"/>
          <w:sz w:val="22"/>
          <w:szCs w:val="22"/>
        </w:rPr>
        <w:t xml:space="preserve">Mobile-first indexing compliant (Google MFI standards)</w:t>
      </w:r>
    </w:p>
    <w:p>
      <w:pPr>
        <w:pStyle w:val="ListParagraph"/>
        <w:numPr>
          <w:ilvl w:val="0"/>
          <w:numId w:val="2"/>
        </w:numPr>
        <w:spacing w:after="80"/>
      </w:pPr>
      <w:r>
        <w:rPr>
          <w:rFonts w:ascii="Arial" w:cs="Arial" w:eastAsia="Arial" w:hAnsi="Arial"/>
          <w:color w:val="1A1A1A"/>
          <w:sz w:val="22"/>
          <w:szCs w:val="22"/>
        </w:rPr>
        <w:t xml:space="preserve">Page titles and meta descriptions manageable through CMS</w:t>
      </w:r>
    </w:p>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8.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Principle</w:t>
            </w:r>
          </w:p>
        </w:tc>
        <w:tc>
          <w:tcPr>
            <w:tcW w:type="dxa" w:w="6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Application</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Government-Grade Trust</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Design must feel official and credible — consistent with City Government of Baguio branding. Use institutional photography, formal typography, and the official Baguio seal prominently.</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Youth-Friendly Without Being Juvenile</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Camp targets 500+ youth — the site must feel dynamic and inspiring. Use vibrant secondary colors, clear CTAs, and energetic imagery without sacrificing professionalism.</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Clarity First</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Complex programs and multiple audiences demand extreme content clarity. Each page must answer: What is this? Who is it for? What do I do next? No jargon without explanation.</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Mobile-First</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 significant portion of youth and startup audiences access via mobile. All layouts, forms, and interactions must be designed for 375px screens first, scaled up.</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Inclusive Access</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Content must be accessible regardless of internet speed (optimize for slow connections), device type, and ability level. Provide text alternatives to visual content.</w:t>
            </w:r>
          </w:p>
        </w:tc>
      </w:tr>
      <w:tr>
        <w:tc>
          <w:tcPr>
            <w:tcW w:type="dxa" w:w="25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Living Platform</w:t>
            </w:r>
          </w:p>
        </w:tc>
        <w:tc>
          <w:tcPr>
            <w:tcW w:type="dxa" w:w="68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The site must feel active and current — events, news, and database entries must be updated regularly. Stale content destroys credibility. Admin workflow must make publishing easy.</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8.1 Visual Identity</w:t>
      </w:r>
    </w:p>
    <w:p>
      <w:pPr>
        <w:pStyle w:val="ListParagraph"/>
        <w:numPr>
          <w:ilvl w:val="0"/>
          <w:numId w:val="2"/>
        </w:numPr>
        <w:spacing w:after="80"/>
      </w:pPr>
      <w:r>
        <w:rPr>
          <w:rFonts w:ascii="Arial" w:cs="Arial" w:eastAsia="Arial" w:hAnsi="Arial"/>
          <w:color w:val="1A1A1A"/>
          <w:sz w:val="22"/>
          <w:szCs w:val="22"/>
        </w:rPr>
        <w:t xml:space="preserve">Primary Color: Deep Navy (#1B3A6B) — institutional authority</w:t>
      </w:r>
    </w:p>
    <w:p>
      <w:pPr>
        <w:pStyle w:val="ListParagraph"/>
        <w:numPr>
          <w:ilvl w:val="0"/>
          <w:numId w:val="2"/>
        </w:numPr>
        <w:spacing w:after="80"/>
      </w:pPr>
      <w:r>
        <w:rPr>
          <w:rFonts w:ascii="Arial" w:cs="Arial" w:eastAsia="Arial" w:hAnsi="Arial"/>
          <w:color w:val="1A1A1A"/>
          <w:sz w:val="22"/>
          <w:szCs w:val="22"/>
        </w:rPr>
        <w:t xml:space="preserve">Secondary Color: Gold/Amber (#C9973A) — energy, warmth, Baguio</w:t>
      </w:r>
    </w:p>
    <w:p>
      <w:pPr>
        <w:pStyle w:val="ListParagraph"/>
        <w:numPr>
          <w:ilvl w:val="0"/>
          <w:numId w:val="2"/>
        </w:numPr>
        <w:spacing w:after="80"/>
      </w:pPr>
      <w:r>
        <w:rPr>
          <w:rFonts w:ascii="Arial" w:cs="Arial" w:eastAsia="Arial" w:hAnsi="Arial"/>
          <w:color w:val="1A1A1A"/>
          <w:sz w:val="22"/>
          <w:szCs w:val="22"/>
        </w:rPr>
        <w:t xml:space="preserve">Accent Color: Teal (#2E7D6F) — innovation, nature, Cordillera</w:t>
      </w:r>
    </w:p>
    <w:p>
      <w:pPr>
        <w:pStyle w:val="ListParagraph"/>
        <w:numPr>
          <w:ilvl w:val="0"/>
          <w:numId w:val="2"/>
        </w:numPr>
        <w:spacing w:after="80"/>
      </w:pPr>
      <w:r>
        <w:rPr>
          <w:rFonts w:ascii="Arial" w:cs="Arial" w:eastAsia="Arial" w:hAnsi="Arial"/>
          <w:color w:val="1A1A1A"/>
          <w:sz w:val="22"/>
          <w:szCs w:val="22"/>
        </w:rPr>
        <w:t xml:space="preserve">Typography: Inter or Lexend for body text (high readability), Manrope or DM Sans for headings</w:t>
      </w:r>
    </w:p>
    <w:p>
      <w:pPr>
        <w:pStyle w:val="ListParagraph"/>
        <w:numPr>
          <w:ilvl w:val="0"/>
          <w:numId w:val="2"/>
        </w:numPr>
        <w:spacing w:after="80"/>
      </w:pPr>
      <w:r>
        <w:rPr>
          <w:rFonts w:ascii="Arial" w:cs="Arial" w:eastAsia="Arial" w:hAnsi="Arial"/>
          <w:color w:val="1A1A1A"/>
          <w:sz w:val="22"/>
          <w:szCs w:val="22"/>
        </w:rPr>
        <w:t xml:space="preserve">Logo: Official Incubator Baguio mark with City Seal co-branding</w:t>
      </w:r>
    </w:p>
    <w:p>
      <w:pPr>
        <w:pStyle w:val="ListParagraph"/>
        <w:numPr>
          <w:ilvl w:val="0"/>
          <w:numId w:val="2"/>
        </w:numPr>
        <w:spacing w:after="80"/>
      </w:pPr>
      <w:r>
        <w:rPr>
          <w:rFonts w:ascii="Arial" w:cs="Arial" w:eastAsia="Arial" w:hAnsi="Arial"/>
          <w:color w:val="1A1A1A"/>
          <w:sz w:val="22"/>
          <w:szCs w:val="22"/>
        </w:rPr>
        <w:t xml:space="preserve">Photography: Authentic Baguio imagery — real people, real places, not generic stock photos</w:t>
      </w:r>
    </w:p>
    <w:p>
      <w:pPr>
        <w:pStyle w:val="ListParagraph"/>
        <w:numPr>
          <w:ilvl w:val="0"/>
          <w:numId w:val="2"/>
        </w:numPr>
        <w:spacing w:after="80"/>
      </w:pPr>
      <w:r>
        <w:rPr>
          <w:rFonts w:ascii="Arial" w:cs="Arial" w:eastAsia="Arial" w:hAnsi="Arial"/>
          <w:color w:val="1A1A1A"/>
          <w:sz w:val="22"/>
          <w:szCs w:val="22"/>
        </w:rPr>
        <w:t xml:space="preserve">Iconography: Clean, minimal line icons aligned to government digital standards</w:t>
      </w:r>
    </w:p>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9. Phased Delivery Roadmap</w:t>
      </w:r>
    </w:p>
    <w:p>
      <w:pPr>
        <w:pStyle w:val="Heading2"/>
        <w:spacing w:after="100" w:before="280"/>
      </w:pPr>
      <w:r>
        <w:rPr>
          <w:rFonts w:ascii="Arial" w:cs="Arial" w:eastAsia="Arial" w:hAnsi="Arial"/>
          <w:b/>
          <w:bCs/>
          <w:color w:val="1B3A6B"/>
          <w:sz w:val="28"/>
          <w:szCs w:val="28"/>
        </w:rPr>
        <w:t xml:space="preserve">9.1 Phase 1 — Foundation (MVP)</w:t>
      </w:r>
    </w:p>
    <w:p>
      <w:pPr>
        <w:spacing w:after="60"/>
      </w:pPr>
      <w:r>
        <w:rPr>
          <w:rFonts w:ascii="Arial" w:cs="Arial" w:eastAsia="Arial" w:hAnsi="Arial"/>
          <w:i/>
          <w:iCs/>
          <w:color w:val="555555"/>
          <w:sz w:val="20"/>
          <w:szCs w:val="20"/>
        </w:rPr>
        <w:t xml:space="preserve">Target: 6–8 weeks from project kick-off</w:t>
      </w:r>
    </w:p>
    <w:p>
      <w:pPr>
        <w:spacing w:after="120" w:line="300"/>
      </w:pPr>
      <w:r>
        <w:rPr>
          <w:rFonts w:ascii="Arial" w:cs="Arial" w:eastAsia="Arial" w:hAnsi="Arial"/>
          <w:color w:val="1A1A1A"/>
          <w:sz w:val="22"/>
          <w:szCs w:val="22"/>
        </w:rPr>
        <w:t xml:space="preserve">Goal: Launch a credible, functional institutional presence in time for Innovation Startup Week and early 2026 program announcements.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Feature / Module</w:t>
            </w:r>
          </w:p>
        </w:tc>
        <w:tc>
          <w:tcPr>
            <w:tcW w:type="dxa" w:w="2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Priority</w:t>
            </w:r>
          </w:p>
        </w:tc>
        <w:tc>
          <w:tcPr>
            <w:tcW w:type="dxa" w:w="2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Status</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Homepage (hero, stats, programs, events, CTA)</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About Pages (Incubator Baguio, Legal Basis, Alliance Members)</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Programs Overview Pages (all 7 programs, static)</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Startup Week Dedicated Page</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Events Calendar (basic list view)</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General Event Registration Form</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Contact Page</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News &amp; Announcements (basic CMS)</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Mobile-responsive layout across all pages</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Basic SEO and Google Analytics setup</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1</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9.2 Phase 2 — Core Features</w:t>
      </w:r>
    </w:p>
    <w:p>
      <w:pPr>
        <w:spacing w:after="60"/>
      </w:pPr>
      <w:r>
        <w:rPr>
          <w:rFonts w:ascii="Arial" w:cs="Arial" w:eastAsia="Arial" w:hAnsi="Arial"/>
          <w:i/>
          <w:iCs/>
          <w:color w:val="555555"/>
          <w:sz w:val="20"/>
          <w:szCs w:val="20"/>
        </w:rPr>
        <w:t xml:space="preserve">Target: 8–14 weeks (following Phase 1 launch)</w:t>
      </w:r>
    </w:p>
    <w:p>
      <w:pPr>
        <w:spacing w:after="120" w:line="300"/>
      </w:pPr>
      <w:r>
        <w:rPr>
          <w:rFonts w:ascii="Arial" w:cs="Arial" w:eastAsia="Arial" w:hAnsi="Arial"/>
          <w:color w:val="1A1A1A"/>
          <w:sz w:val="22"/>
          <w:szCs w:val="22"/>
        </w:rPr>
        <w:t xml:space="preserve">Goal: Activate the application portal, knowledge hub, and ecosystem features to support active program delivery.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Feature / Module</w:t>
            </w:r>
          </w:p>
        </w:tc>
        <w:tc>
          <w:tcPr>
            <w:tcW w:type="dxa" w:w="2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Priority</w:t>
            </w:r>
          </w:p>
        </w:tc>
        <w:tc>
          <w:tcPr>
            <w:tcW w:type="dxa" w:w="2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Status</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Incubation Application Portal</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 Innovation Database (Centralized, Sec. 9)</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Forum Paper Submission Portal</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Innovation Camp Registration</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Portfolio Directory</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Partner Directory (Alliance Members)</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Mentor Registration &amp; Directory</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Resources &amp; Toolkits (Knowledge Hub)</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Admin Portal (Applications, Events, Content)</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User Accounts (applicant portal, application status)</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Email Notification System</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2E7D6F"/>
                <w:sz w:val="22"/>
                <w:szCs w:val="22"/>
              </w:rPr>
              <w:t xml:space="preserve">P0</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Photo &amp; Video Gallery</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2</w:t>
            </w:r>
          </w:p>
        </w:tc>
      </w:tr>
    </w:tbl>
    <w:p>
      <w:pPr>
        <w:spacing w:after="240"/>
      </w:pPr>
      <w:r>
        <w:t xml:space="preserve"/>
      </w:r>
    </w:p>
    <w:p>
      <w:pPr>
        <w:pStyle w:val="Heading2"/>
        <w:spacing w:after="100" w:before="280"/>
      </w:pPr>
      <w:r>
        <w:rPr>
          <w:rFonts w:ascii="Arial" w:cs="Arial" w:eastAsia="Arial" w:hAnsi="Arial"/>
          <w:b/>
          <w:bCs/>
          <w:color w:val="1B3A6B"/>
          <w:sz w:val="28"/>
          <w:szCs w:val="28"/>
        </w:rPr>
        <w:t xml:space="preserve">9.3 Phase 3 — Advanced Features</w:t>
      </w:r>
    </w:p>
    <w:p>
      <w:pPr>
        <w:spacing w:after="60"/>
      </w:pPr>
      <w:r>
        <w:rPr>
          <w:rFonts w:ascii="Arial" w:cs="Arial" w:eastAsia="Arial" w:hAnsi="Arial"/>
          <w:i/>
          <w:iCs/>
          <w:color w:val="555555"/>
          <w:sz w:val="20"/>
          <w:szCs w:val="20"/>
        </w:rPr>
        <w:t xml:space="preserve">Target: 14–24 weeks (ongoing post-Phase 2)</w:t>
      </w:r>
    </w:p>
    <w:p>
      <w:pPr>
        <w:spacing w:after="120" w:line="300"/>
      </w:pPr>
      <w:r>
        <w:rPr>
          <w:rFonts w:ascii="Arial" w:cs="Arial" w:eastAsia="Arial" w:hAnsi="Arial"/>
          <w:color w:val="1A1A1A"/>
          <w:sz w:val="22"/>
          <w:szCs w:val="22"/>
        </w:rPr>
        <w:t xml:space="preserve">Goal: Enhance engagement, interactivity, and reporting capabilities.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Feature / Module</w:t>
            </w:r>
          </w:p>
        </w:tc>
        <w:tc>
          <w:tcPr>
            <w:tcW w:type="dxa" w:w="2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Priority</w:t>
            </w:r>
          </w:p>
        </w:tc>
        <w:tc>
          <w:tcPr>
            <w:tcW w:type="dxa" w:w="2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Status</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Interactive Ecosystem Map (Quadruple Helix Visual)</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P2</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3</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Milestone Tracker (Admin)</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3</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Funding Opportunities Directory</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3</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Advanced Knowledge Hub Search (faceted filters)</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3</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QR Code Check-in for Events</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P2</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3</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Press Coverage Page</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P2</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3</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Analytics Dashboard (Admin Reporting)</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3</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Filipino Language Toggle</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P2</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3</w:t>
            </w:r>
          </w:p>
        </w:tc>
      </w:tr>
      <w:tr>
        <w:tc>
          <w:tcPr>
            <w:tcW w:type="dxa" w:w="4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Accessibility Audit &amp; Remediation</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bCs/>
                <w:color w:val="1B3A6B"/>
                <w:sz w:val="22"/>
                <w:szCs w:val="22"/>
              </w:rPr>
              <w:t xml:space="preserve">P1</w:t>
            </w:r>
          </w:p>
        </w:tc>
        <w:tc>
          <w:tcPr>
            <w:tcW w:type="dxa" w:w="26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Phase 3</w:t>
            </w:r>
          </w:p>
        </w:tc>
      </w:tr>
    </w:tbl>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10. Success Metrics &amp; KPIs</w:t>
      </w:r>
    </w:p>
    <w:p>
      <w:pPr>
        <w:spacing w:after="120" w:line="300"/>
      </w:pPr>
      <w:r>
        <w:rPr>
          <w:rFonts w:ascii="Arial" w:cs="Arial" w:eastAsia="Arial" w:hAnsi="Arial"/>
          <w:color w:val="1A1A1A"/>
          <w:sz w:val="22"/>
          <w:szCs w:val="22"/>
        </w:rPr>
        <w:t xml:space="preserve">Website KPIs are aligned to the Incubator Baguio Project Proposal's expected outputs and the Ordinance's performance indicators.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KPI</w:t>
            </w:r>
          </w:p>
        </w:tc>
        <w:tc>
          <w:tcPr>
            <w:tcW w:type="dxa" w:w="21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Baseline (Launch)</w:t>
            </w:r>
          </w:p>
        </w:tc>
        <w:tc>
          <w:tcPr>
            <w:tcW w:type="dxa" w:w="21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6-Month Target</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Source</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Monthly Website Visitors</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0</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2,000+ unique visitors</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Analytics</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Event Registrations via Website</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0</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500+ (Innovation Camp alone)</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Events Module</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Startup Applications Submitted</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0</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15+ (target 5-10 enrolled)</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Apply Portal</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Submissions to Database</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0</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20+ entries</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Knowledge Hub</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Research Forum Paper Submissions</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0</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30+ papers</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Apply Portal</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Partner Inquiry Forms Submitted</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0</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15+ (target 10 MOAs)</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Apply Portal</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Resource Downloads (Knowledge Hub)</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0</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500+ downloads</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Analytics</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Mobile Traffic Share</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Benchmark at launch</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&gt; 60% of sessions</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Analytics</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Page Load Speed (LCP)</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Measured at launch</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&lt; 2.5 seconds (Green)</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PageSpeed Insights</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Form Completion Rate</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Baseline at 60 days</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&gt; 70% (started → submitted)</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Analytics Events</w:t>
            </w:r>
          </w:p>
        </w:tc>
      </w:tr>
      <w:tr>
        <w:tc>
          <w:tcPr>
            <w:tcW w:type="dxa" w:w="3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Admin Content Update Frequency</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0</w:t>
            </w:r>
          </w:p>
        </w:tc>
        <w:tc>
          <w:tcPr>
            <w:tcW w:type="dxa" w:w="218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2+ updates/week</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CMS Logs</w:t>
            </w:r>
          </w:p>
        </w:tc>
      </w:tr>
    </w:tbl>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11. Assumptions &amp; Constraints</w:t>
      </w:r>
    </w:p>
    <w:p>
      <w:pPr>
        <w:pStyle w:val="Heading2"/>
        <w:spacing w:after="100" w:before="280"/>
      </w:pPr>
      <w:r>
        <w:rPr>
          <w:rFonts w:ascii="Arial" w:cs="Arial" w:eastAsia="Arial" w:hAnsi="Arial"/>
          <w:b/>
          <w:bCs/>
          <w:color w:val="1B3A6B"/>
          <w:sz w:val="28"/>
          <w:szCs w:val="28"/>
        </w:rPr>
        <w:t xml:space="preserve">11.1 Assumptions</w:t>
      </w:r>
    </w:p>
    <w:p>
      <w:pPr>
        <w:pStyle w:val="ListParagraph"/>
        <w:numPr>
          <w:ilvl w:val="0"/>
          <w:numId w:val="2"/>
        </w:numPr>
        <w:spacing w:after="80"/>
      </w:pPr>
      <w:r>
        <w:rPr>
          <w:rFonts w:ascii="Arial" w:cs="Arial" w:eastAsia="Arial" w:hAnsi="Arial"/>
          <w:color w:val="1A1A1A"/>
          <w:sz w:val="22"/>
          <w:szCs w:val="22"/>
        </w:rPr>
        <w:t xml:space="preserve">Incubator Baguio will have a dedicated staff member (or contracted person) responsible for content management after launch</w:t>
      </w:r>
    </w:p>
    <w:p>
      <w:pPr>
        <w:pStyle w:val="ListParagraph"/>
        <w:numPr>
          <w:ilvl w:val="0"/>
          <w:numId w:val="2"/>
        </w:numPr>
        <w:spacing w:after="80"/>
      </w:pPr>
      <w:r>
        <w:rPr>
          <w:rFonts w:ascii="Arial" w:cs="Arial" w:eastAsia="Arial" w:hAnsi="Arial"/>
          <w:color w:val="1A1A1A"/>
          <w:sz w:val="22"/>
          <w:szCs w:val="22"/>
        </w:rPr>
        <w:t xml:space="preserve">Brand assets (logo, official photography, partner logos) will be provided by CPDSO before design phase begins</w:t>
      </w:r>
    </w:p>
    <w:p>
      <w:pPr>
        <w:pStyle w:val="ListParagraph"/>
        <w:numPr>
          <w:ilvl w:val="0"/>
          <w:numId w:val="2"/>
        </w:numPr>
        <w:spacing w:after="80"/>
      </w:pPr>
      <w:r>
        <w:rPr>
          <w:rFonts w:ascii="Arial" w:cs="Arial" w:eastAsia="Arial" w:hAnsi="Arial"/>
          <w:color w:val="1A1A1A"/>
          <w:sz w:val="22"/>
          <w:szCs w:val="22"/>
        </w:rPr>
        <w:t xml:space="preserve">Official Ordinance No. 63 text and all alliance member information will be reviewed and approved by CPDSO before publication</w:t>
      </w:r>
    </w:p>
    <w:p>
      <w:pPr>
        <w:pStyle w:val="ListParagraph"/>
        <w:numPr>
          <w:ilvl w:val="0"/>
          <w:numId w:val="2"/>
        </w:numPr>
        <w:spacing w:after="80"/>
      </w:pPr>
      <w:r>
        <w:rPr>
          <w:rFonts w:ascii="Arial" w:cs="Arial" w:eastAsia="Arial" w:hAnsi="Arial"/>
          <w:color w:val="1A1A1A"/>
          <w:sz w:val="22"/>
          <w:szCs w:val="22"/>
        </w:rPr>
        <w:t xml:space="preserve">The CPDSO will secure domain hosting and government cloud infrastructure independently of the website design project</w:t>
      </w:r>
    </w:p>
    <w:p>
      <w:pPr>
        <w:pStyle w:val="ListParagraph"/>
        <w:numPr>
          <w:ilvl w:val="0"/>
          <w:numId w:val="2"/>
        </w:numPr>
        <w:spacing w:after="80"/>
      </w:pPr>
      <w:r>
        <w:rPr>
          <w:rFonts w:ascii="Arial" w:cs="Arial" w:eastAsia="Arial" w:hAnsi="Arial"/>
          <w:color w:val="1A1A1A"/>
          <w:sz w:val="22"/>
          <w:szCs w:val="22"/>
        </w:rPr>
        <w:t xml:space="preserve">Alliance partner institutions have agreed to be listed on the website and will provide their logos and brief descriptions</w:t>
      </w:r>
    </w:p>
    <w:p>
      <w:pPr>
        <w:pStyle w:val="ListParagraph"/>
        <w:numPr>
          <w:ilvl w:val="0"/>
          <w:numId w:val="2"/>
        </w:numPr>
        <w:spacing w:after="80"/>
      </w:pPr>
      <w:r>
        <w:rPr>
          <w:rFonts w:ascii="Arial" w:cs="Arial" w:eastAsia="Arial" w:hAnsi="Arial"/>
          <w:color w:val="1A1A1A"/>
          <w:sz w:val="22"/>
          <w:szCs w:val="22"/>
        </w:rPr>
        <w:t xml:space="preserve">The website will be updated at minimum twice per week to maintain relevance and credibility</w:t>
      </w:r>
    </w:p>
    <w:p>
      <w:pPr>
        <w:spacing w:after="240"/>
      </w:pPr>
      <w:r>
        <w:t xml:space="preserve"/>
      </w:r>
    </w:p>
    <w:p>
      <w:pPr>
        <w:pStyle w:val="Heading2"/>
        <w:spacing w:after="100" w:before="280"/>
      </w:pPr>
      <w:r>
        <w:rPr>
          <w:rFonts w:ascii="Arial" w:cs="Arial" w:eastAsia="Arial" w:hAnsi="Arial"/>
          <w:b/>
          <w:bCs/>
          <w:color w:val="1B3A6B"/>
          <w:sz w:val="28"/>
          <w:szCs w:val="28"/>
        </w:rPr>
        <w:t xml:space="preserve">11.2 Constraints</w:t>
      </w:r>
    </w:p>
    <w:p>
      <w:pPr>
        <w:pStyle w:val="ListParagraph"/>
        <w:numPr>
          <w:ilvl w:val="0"/>
          <w:numId w:val="2"/>
        </w:numPr>
        <w:spacing w:after="80"/>
      </w:pPr>
      <w:r>
        <w:rPr>
          <w:rFonts w:ascii="Arial" w:cs="Arial" w:eastAsia="Arial" w:hAnsi="Arial"/>
          <w:color w:val="1A1A1A"/>
          <w:sz w:val="22"/>
          <w:szCs w:val="22"/>
        </w:rPr>
        <w:t xml:space="preserve">Budget is within the existing Php 3,000,000 project budget, with website development as a sub-component</w:t>
      </w:r>
    </w:p>
    <w:p>
      <w:pPr>
        <w:pStyle w:val="ListParagraph"/>
        <w:numPr>
          <w:ilvl w:val="0"/>
          <w:numId w:val="2"/>
        </w:numPr>
        <w:spacing w:after="80"/>
      </w:pPr>
      <w:r>
        <w:rPr>
          <w:rFonts w:ascii="Arial" w:cs="Arial" w:eastAsia="Arial" w:hAnsi="Arial"/>
          <w:color w:val="1A1A1A"/>
          <w:sz w:val="22"/>
          <w:szCs w:val="22"/>
        </w:rPr>
        <w:t xml:space="preserve">Implementation timeline is March–December 2026; Phase 1 must launch by Innovation Startup Week in April 2026</w:t>
      </w:r>
    </w:p>
    <w:p>
      <w:pPr>
        <w:pStyle w:val="ListParagraph"/>
        <w:numPr>
          <w:ilvl w:val="0"/>
          <w:numId w:val="2"/>
        </w:numPr>
        <w:spacing w:after="80"/>
      </w:pPr>
      <w:r>
        <w:rPr>
          <w:rFonts w:ascii="Arial" w:cs="Arial" w:eastAsia="Arial" w:hAnsi="Arial"/>
          <w:color w:val="1A1A1A"/>
          <w:sz w:val="22"/>
          <w:szCs w:val="22"/>
        </w:rPr>
        <w:t xml:space="preserve">Must comply with Philippine Data Privacy Act (RA 10173) — all personal data collection must have privacy notices and consent</w:t>
      </w:r>
    </w:p>
    <w:p>
      <w:pPr>
        <w:pStyle w:val="ListParagraph"/>
        <w:numPr>
          <w:ilvl w:val="0"/>
          <w:numId w:val="2"/>
        </w:numPr>
        <w:spacing w:after="80"/>
      </w:pPr>
      <w:r>
        <w:rPr>
          <w:rFonts w:ascii="Arial" w:cs="Arial" w:eastAsia="Arial" w:hAnsi="Arial"/>
          <w:color w:val="1A1A1A"/>
          <w:sz w:val="22"/>
          <w:szCs w:val="22"/>
        </w:rPr>
        <w:t xml:space="preserve">Must align with City Government of Baguio brand and communications standards</w:t>
      </w:r>
    </w:p>
    <w:p>
      <w:pPr>
        <w:pStyle w:val="ListParagraph"/>
        <w:numPr>
          <w:ilvl w:val="0"/>
          <w:numId w:val="2"/>
        </w:numPr>
        <w:spacing w:after="80"/>
      </w:pPr>
      <w:r>
        <w:rPr>
          <w:rFonts w:ascii="Arial" w:cs="Arial" w:eastAsia="Arial" w:hAnsi="Arial"/>
          <w:color w:val="1A1A1A"/>
          <w:sz w:val="22"/>
          <w:szCs w:val="22"/>
        </w:rPr>
        <w:t xml:space="preserve">Must be maintainable by non-technical CPDSO staff after developer handover (CMS ease-of-use is critical)</w:t>
      </w:r>
    </w:p>
    <w:p>
      <w:pPr>
        <w:pStyle w:val="ListParagraph"/>
        <w:numPr>
          <w:ilvl w:val="0"/>
          <w:numId w:val="2"/>
        </w:numPr>
        <w:spacing w:after="80"/>
      </w:pPr>
      <w:r>
        <w:rPr>
          <w:rFonts w:ascii="Arial" w:cs="Arial" w:eastAsia="Arial" w:hAnsi="Arial"/>
          <w:color w:val="1A1A1A"/>
          <w:sz w:val="22"/>
          <w:szCs w:val="22"/>
        </w:rPr>
        <w:t xml:space="preserve">Hosting must remain within Philippine jurisdiction for data sovereignty</w:t>
      </w:r>
    </w:p>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2000"/>
        <w:gridCol w:w="1400"/>
      </w:tblGrid>
      <w:tr>
        <w:tc>
          <w:tcPr>
            <w:tcW w:type="dxa" w:w="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w:t>
            </w:r>
          </w:p>
        </w:tc>
        <w:tc>
          <w:tcPr>
            <w:tcW w:type="dxa" w:w="5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Question</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Owner</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Status</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1</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What is the official domain name for the website? (e.g., incubatorbaguio.gov.ph or baguio.gov.ph/incubator)</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CPDSO / City IT</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2</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Will the website require a Filipino language version at launch, or can this be deferred to Phase 3?</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CPDSO</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3</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What is the access control policy for the centralized research database? Which research documents can be publicly downloaded vs. member-only?</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CPDSO + HEI Partners</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4</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Will the Innovation Camp registration require payment processing, or is it free with no fees?</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 Manager</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5</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What privacy notice text and consent language must be included on forms? Will CPDSO legal team review?</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CPDSO Legal</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6</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Are there existing Incubator Baguio or SIGLAT Hub design assets (logo, brand guide) we must use, or does visual identity need to be designed?</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CPDSO / Designer</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7</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Which government IT infrastructure/hosting provider will be used — DICT GovCloud, or commercial cloud?</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CPDSO / City IT</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8</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Will mentor-startup matching be done administratively via the admin portal, or should a self-service booking system be built?</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 Manager</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9</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What is the approval workflow for startup applications — who reviews, how many rounds, what are the decision timelines?</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Program Manager</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r>
        <w:tc>
          <w:tcPr>
            <w:tcW w:type="dxa" w:w="6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center"/>
            </w:pPr>
            <w:r>
              <w:rPr>
                <w:rFonts w:ascii="Arial" w:cs="Arial" w:eastAsia="Arial" w:hAnsi="Arial"/>
                <w:b w:val="false"/>
                <w:bCs w:val="false"/>
                <w:color w:val="1A1A1A"/>
                <w:sz w:val="22"/>
                <w:szCs w:val="22"/>
              </w:rPr>
              <w:t xml:space="preserve">10</w:t>
            </w:r>
          </w:p>
        </w:tc>
        <w:tc>
          <w:tcPr>
            <w:tcW w:type="dxa" w:w="53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Will the City Research Forum conduct peer review through the website, or will that process remain offline?</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CPDSO + HEIs</w:t>
            </w:r>
          </w:p>
        </w:tc>
        <w:tc>
          <w:tcPr>
            <w:tcW w:type="dxa" w:w="14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Open</w:t>
            </w:r>
          </w:p>
        </w:tc>
      </w:tr>
    </w:tbl>
    <w:p>
      <w:r>
        <w:br w:type="page"/>
      </w:r>
    </w:p>
    <w:p>
      <w:pPr>
        <w:pStyle w:val="Heading1"/>
        <w:pBdr>
          <w:bottom w:val="single" w:color="C9973A" w:sz="12" w:space="4"/>
        </w:pBdr>
        <w:spacing w:after="160" w:before="360"/>
      </w:pPr>
      <w:r>
        <w:rPr>
          <w:rFonts w:ascii="Arial" w:cs="Arial" w:eastAsia="Arial" w:hAnsi="Arial"/>
          <w:b/>
          <w:bCs/>
          <w:color w:val="1B3A6B"/>
          <w:sz w:val="36"/>
          <w:szCs w:val="36"/>
        </w:rPr>
        <w:t xml:space="preserve">13. Document Approvals</w:t>
      </w:r>
    </w:p>
    <w:p>
      <w:pPr>
        <w:spacing w:after="120" w:line="300"/>
      </w:pPr>
      <w:r>
        <w:rPr>
          <w:rFonts w:ascii="Arial" w:cs="Arial" w:eastAsia="Arial" w:hAnsi="Arial"/>
          <w:color w:val="1A1A1A"/>
          <w:sz w:val="22"/>
          <w:szCs w:val="22"/>
        </w:rPr>
        <w:t xml:space="preserve">This Product Requirements Document requires review and sign-off from the following stakeholders before design and development may commence: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000"/>
        <w:gridCol w:w="2000"/>
      </w:tblGrid>
      <w:tr>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Name &amp; Role</w:t>
            </w:r>
          </w:p>
        </w:tc>
        <w:tc>
          <w:tcPr>
            <w:tcW w:type="dxa" w:w="2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Organization</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Signature</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60"/>
              <w:jc w:val="left"/>
            </w:pPr>
            <w:r>
              <w:rPr>
                <w:rFonts w:ascii="Arial" w:cs="Arial" w:eastAsia="Arial" w:hAnsi="Arial"/>
                <w:b/>
                <w:bCs/>
                <w:color w:val="FFFFFF"/>
                <w:sz w:val="22"/>
                <w:szCs w:val="22"/>
              </w:rPr>
              <w:t xml:space="preserve">Date</w:t>
            </w:r>
          </w:p>
        </w:tc>
      </w:tr>
      <w:tr>
        <w:tc>
          <w:tcPr>
            <w:tcW w:type="dxa" w:w="32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Ar. Donna R. Tabangin
City Planning and Development Coordinator</w:t>
            </w:r>
          </w:p>
        </w:tc>
        <w:tc>
          <w:tcPr>
            <w:tcW w:type="dxa" w:w="21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City Government of Baguio – CPDSO</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
            </w:r>
          </w:p>
        </w:tc>
      </w:tr>
      <w:tr>
        <w:tc>
          <w:tcPr>
            <w:tcW w:type="dxa" w:w="32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Ms. Micaela Gay R. Garcia
Economist III</w:t>
            </w:r>
          </w:p>
        </w:tc>
        <w:tc>
          <w:tcPr>
            <w:tcW w:type="dxa" w:w="21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CPDSO</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
            </w:r>
          </w:p>
        </w:tc>
      </w:tr>
      <w:tr>
        <w:tc>
          <w:tcPr>
            <w:tcW w:type="dxa" w:w="32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SIGLAT Hub Representative</w:t>
            </w:r>
          </w:p>
        </w:tc>
        <w:tc>
          <w:tcPr>
            <w:tcW w:type="dxa" w:w="21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SIGLAT Youth Innovation Hub</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
            </w:r>
          </w:p>
        </w:tc>
      </w:tr>
      <w:tr>
        <w:tc>
          <w:tcPr>
            <w:tcW w:type="dxa" w:w="32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Product / Design Consultant</w:t>
            </w:r>
          </w:p>
        </w:tc>
        <w:tc>
          <w:tcPr>
            <w:tcW w:type="dxa" w:w="216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inv8 Studio / Consultant</w:t>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
            </w:r>
          </w:p>
        </w:tc>
        <w:tc>
          <w:tcPr>
            <w:tcW w:type="dxa" w:w="2000"/>
            <w:tcBorders>
              <w:top w:val="single" w:color="BBCDE5" w:sz="1"/>
              <w:left w:val="single" w:color="BBCDE5" w:sz="1"/>
              <w:bottom w:val="single" w:color="BBCDE5" w:sz="1"/>
              <w:right w:val="single" w:color="BBCDE5" w:sz="1"/>
            </w:tcBorders>
            <w:tcMar>
              <w:top w:type="dxa" w:w="100"/>
              <w:left w:type="dxa" w:w="140"/>
              <w:bottom w:type="dxa" w:w="100"/>
              <w:right w:type="dxa" w:w="140"/>
            </w:tcMar>
            <w:vAlign w:val="top"/>
          </w:tcPr>
          <w:p>
            <w:pPr>
              <w:spacing w:after="60"/>
              <w:jc w:val="left"/>
            </w:pPr>
            <w:r>
              <w:rPr>
                <w:rFonts w:ascii="Arial" w:cs="Arial" w:eastAsia="Arial" w:hAnsi="Arial"/>
                <w:b w:val="false"/>
                <w:bCs w:val="false"/>
                <w:color w:val="1A1A1A"/>
                <w:sz w:val="22"/>
                <w:szCs w:val="22"/>
              </w:rPr>
              <w:t xml:space="preserve"/>
            </w:r>
          </w:p>
        </w:tc>
      </w:tr>
    </w:tbl>
    <w:p>
      <w:pPr>
        <w:spacing w:after="240"/>
      </w:pPr>
      <w:r>
        <w:t xml:space="preserve"/>
      </w:r>
    </w:p>
    <w:p>
      <w:pPr>
        <w:pBdr>
          <w:bottom w:val="single" w:color="BBCDE5" w:sz="4" w:space="1"/>
        </w:pBdr>
        <w:spacing w:after="160"/>
      </w:pPr>
      <w:r>
        <w:t xml:space="preserve"/>
      </w:r>
    </w:p>
    <w:p>
      <w:pPr>
        <w:spacing w:after="80"/>
        <w:jc w:val="center"/>
      </w:pPr>
      <w:r>
        <w:rPr>
          <w:rFonts w:ascii="Arial" w:cs="Arial" w:eastAsia="Arial" w:hAnsi="Arial"/>
          <w:b/>
          <w:bCs/>
          <w:color w:val="1B3A6B"/>
          <w:sz w:val="18"/>
          <w:szCs w:val="18"/>
        </w:rPr>
        <w:t xml:space="preserve">Incubator Baguio — Baguio City Research and Innovation Alliance</w:t>
      </w:r>
    </w:p>
    <w:p>
      <w:pPr>
        <w:spacing w:after="80"/>
        <w:jc w:val="center"/>
      </w:pPr>
      <w:r>
        <w:rPr>
          <w:rFonts w:ascii="Arial" w:cs="Arial" w:eastAsia="Arial" w:hAnsi="Arial"/>
          <w:i/>
          <w:iCs/>
          <w:color w:val="555555"/>
          <w:sz w:val="18"/>
          <w:szCs w:val="18"/>
        </w:rPr>
        <w:t xml:space="preserve">Operationalized under Ordinance No. 63, Series of 2023</w:t>
      </w:r>
    </w:p>
    <w:p>
      <w:pPr>
        <w:spacing w:after="80"/>
        <w:jc w:val="center"/>
      </w:pPr>
      <w:r>
        <w:rPr>
          <w:rFonts w:ascii="Arial" w:cs="Arial" w:eastAsia="Arial" w:hAnsi="Arial"/>
          <w:color w:val="555555"/>
          <w:sz w:val="18"/>
          <w:szCs w:val="18"/>
        </w:rPr>
        <w:t xml:space="preserve">City Planning, Development and Sustainability Office | City Government of Baguio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DE5" w:sz="6" w:space="1"/>
      </w:pBdr>
      <w:spacing w:before="120"/>
    </w:pPr>
    <w:r>
      <w:rPr>
        <w:rFonts w:ascii="Arial" w:cs="Arial" w:eastAsia="Arial" w:hAnsi="Arial"/>
        <w:color w:val="555555"/>
        <w:sz w:val="16"/>
        <w:szCs w:val="16"/>
      </w:rPr>
      <w:t xml:space="preserve">City Government of Baguio  —  City Planning, Development and Sustainability Office</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3A" w:sz="6" w:space="1"/>
      </w:pBdr>
      <w:spacing w:after="120"/>
    </w:pPr>
    <w:r>
      <w:rPr>
        <w:rFonts w:ascii="Arial" w:cs="Arial" w:eastAsia="Arial" w:hAnsi="Arial"/>
        <w:b/>
        <w:bCs/>
        <w:color w:val="1B3A6B"/>
        <w:sz w:val="18"/>
        <w:szCs w:val="18"/>
      </w:rPr>
      <w:t xml:space="preserve">INCUBATOR BAGUIO</w:t>
    </w:r>
    <w:r>
      <w:rPr>
        <w:rFonts w:ascii="Arial" w:cs="Arial" w:eastAsia="Arial" w:hAnsi="Arial"/>
        <w:color w:val="555555"/>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D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2026-06-20T11:59:04.443Z</dcterms:created>
  <dcterms:modified xsi:type="dcterms:W3CDTF">2026-06-20T11:59:04.443Z</dcterms:modified>
</cp:coreProperties>
</file>

<file path=docProps/custom.xml><?xml version="1.0" encoding="utf-8"?>
<Properties xmlns="http://schemas.openxmlformats.org/officeDocument/2006/custom-properties" xmlns:vt="http://schemas.openxmlformats.org/officeDocument/2006/docPropsVTypes"/>
</file>