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E5F" w:rsidRDefault="00F91E5F" w:rsidP="00F91E5F">
      <w:r>
        <w:t>Prowadząca zajęcia:</w:t>
      </w:r>
      <w:r>
        <w:br/>
      </w:r>
      <w:r w:rsidRPr="00A478C8">
        <w:t xml:space="preserve">dr hab. inż. Małgorzata Sterna, prof. </w:t>
      </w:r>
      <w:proofErr w:type="spellStart"/>
      <w:r w:rsidRPr="00A478C8">
        <w:t>nadzw</w:t>
      </w:r>
      <w:proofErr w:type="spellEnd"/>
      <w:r w:rsidRPr="00A478C8">
        <w:t>.</w:t>
      </w:r>
    </w:p>
    <w:p w:rsidR="00F91E5F" w:rsidRDefault="00F91E5F" w:rsidP="00F91E5F"/>
    <w:p w:rsidR="00F91E5F" w:rsidRDefault="00F91E5F" w:rsidP="00F91E5F">
      <w:pPr>
        <w:jc w:val="center"/>
        <w:rPr>
          <w:b/>
          <w:sz w:val="48"/>
          <w:szCs w:val="48"/>
        </w:rPr>
      </w:pPr>
      <w:r w:rsidRPr="00A478C8">
        <w:rPr>
          <w:b/>
          <w:sz w:val="48"/>
          <w:szCs w:val="48"/>
        </w:rPr>
        <w:t>ALGORYTMY I STRUKTURY DANYCH</w:t>
      </w:r>
    </w:p>
    <w:p w:rsidR="00F91E5F" w:rsidRDefault="00F91E5F" w:rsidP="00F91E5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Ćwiczenie </w:t>
      </w:r>
      <w:r w:rsidR="00472FAB">
        <w:rPr>
          <w:b/>
          <w:sz w:val="48"/>
          <w:szCs w:val="48"/>
        </w:rPr>
        <w:t>3</w:t>
      </w:r>
    </w:p>
    <w:p w:rsidR="00F91E5F" w:rsidRDefault="00472FAB" w:rsidP="00F91E5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Algorytmy grafowe</w:t>
      </w:r>
    </w:p>
    <w:p w:rsidR="00F91E5F" w:rsidRDefault="00F91E5F" w:rsidP="00F91E5F">
      <w:pPr>
        <w:jc w:val="right"/>
      </w:pPr>
    </w:p>
    <w:p w:rsidR="00F91E5F" w:rsidRDefault="00F91E5F" w:rsidP="00F91E5F">
      <w:pPr>
        <w:jc w:val="right"/>
      </w:pPr>
    </w:p>
    <w:p w:rsidR="00F91E5F" w:rsidRDefault="00F91E5F" w:rsidP="00F91E5F">
      <w:pPr>
        <w:jc w:val="right"/>
      </w:pPr>
      <w:r>
        <w:t>Stanisław Jasiewicz</w:t>
      </w:r>
      <w:r>
        <w:br/>
        <w:t>nr 116753</w:t>
      </w:r>
      <w:r>
        <w:br/>
        <w:t>Wojciech Regulski</w:t>
      </w:r>
      <w:r>
        <w:br/>
        <w:t>nr 132312</w:t>
      </w:r>
      <w:r>
        <w:br/>
      </w:r>
      <w:r>
        <w:br/>
        <w:t>Informatyka(WI) I1</w:t>
      </w:r>
      <w:r>
        <w:br/>
      </w:r>
      <w:r>
        <w:br/>
      </w:r>
    </w:p>
    <w:p w:rsidR="00F91E5F" w:rsidRDefault="00F91E5F" w:rsidP="00F91E5F">
      <w:pPr>
        <w:pStyle w:val="Nagwek1"/>
      </w:pPr>
      <w:r>
        <w:br w:type="column"/>
      </w:r>
      <w:r>
        <w:lastRenderedPageBreak/>
        <w:t>Cel</w:t>
      </w:r>
    </w:p>
    <w:p w:rsidR="00345DFE" w:rsidRDefault="00F91E5F" w:rsidP="00F91E5F">
      <w:r>
        <w:br/>
      </w:r>
      <w:r w:rsidR="0065395B">
        <w:tab/>
      </w:r>
      <w:r>
        <w:t xml:space="preserve">Poznanie </w:t>
      </w:r>
      <w:r w:rsidR="00C95AD4">
        <w:t>zalet oraz wad różnych reprezentacji grafu, implementacja sortowania topologicznego, zapoznanie się z algorytmem przeszukiwania w głąb DFS</w:t>
      </w:r>
    </w:p>
    <w:p w:rsidR="00C95AD4" w:rsidRDefault="00C95AD4" w:rsidP="00F91E5F"/>
    <w:p w:rsidR="00C95AD4" w:rsidRDefault="00C95AD4" w:rsidP="00F91E5F"/>
    <w:p w:rsidR="00F91E5F" w:rsidRDefault="00F91E5F" w:rsidP="00F91E5F">
      <w:pPr>
        <w:pStyle w:val="Nagwek1"/>
      </w:pPr>
      <w:r>
        <w:t>Pomiary</w:t>
      </w:r>
      <w:r w:rsidR="00F616DF">
        <w:t xml:space="preserve"> i wykresy</w:t>
      </w:r>
    </w:p>
    <w:p w:rsidR="00C95AD4" w:rsidRPr="00C95AD4" w:rsidRDefault="00C95AD4" w:rsidP="00C95AD4"/>
    <w:p w:rsidR="00355FE5" w:rsidRDefault="00355FE5" w:rsidP="00355FE5">
      <w:pPr>
        <w:pStyle w:val="Nagwek2"/>
      </w:pPr>
      <w:r>
        <w:t xml:space="preserve">Czas </w:t>
      </w:r>
      <w:r w:rsidR="00AE203A">
        <w:t>obliczania etykiet</w:t>
      </w:r>
    </w:p>
    <w:p w:rsidR="0067081B" w:rsidRDefault="0067081B" w:rsidP="0067081B"/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AE203A" w:rsidTr="00AE203A">
        <w:tc>
          <w:tcPr>
            <w:tcW w:w="3070" w:type="dxa"/>
          </w:tcPr>
          <w:p w:rsidR="00AE203A" w:rsidRPr="00F77097" w:rsidRDefault="00AE203A" w:rsidP="00AE203A">
            <w:pPr>
              <w:jc w:val="center"/>
              <w:rPr>
                <w:b/>
              </w:rPr>
            </w:pPr>
            <w:r w:rsidRPr="00F77097">
              <w:rPr>
                <w:b/>
              </w:rPr>
              <w:t>Gęstość d [-]</w:t>
            </w:r>
          </w:p>
        </w:tc>
        <w:tc>
          <w:tcPr>
            <w:tcW w:w="3071" w:type="dxa"/>
          </w:tcPr>
          <w:p w:rsidR="00AE203A" w:rsidRPr="00F77097" w:rsidRDefault="00AE203A" w:rsidP="00AE203A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 [-]</w:t>
            </w:r>
          </w:p>
        </w:tc>
        <w:tc>
          <w:tcPr>
            <w:tcW w:w="3071" w:type="dxa"/>
          </w:tcPr>
          <w:p w:rsidR="00AE203A" w:rsidRPr="00F77097" w:rsidRDefault="00AE203A" w:rsidP="00AE203A">
            <w:pPr>
              <w:jc w:val="center"/>
              <w:rPr>
                <w:b/>
              </w:rPr>
            </w:pPr>
            <w:r w:rsidRPr="00F77097">
              <w:rPr>
                <w:b/>
              </w:rPr>
              <w:t>Czas obliczania etykiet [s]</w:t>
            </w:r>
          </w:p>
        </w:tc>
      </w:tr>
      <w:tr w:rsidR="00F77097" w:rsidTr="006A1E9B">
        <w:tc>
          <w:tcPr>
            <w:tcW w:w="3070" w:type="dxa"/>
            <w:vMerge w:val="restart"/>
          </w:tcPr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  <w:r>
              <w:t>0,2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0,0010481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0,0034200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0,0071632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0,0130583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0,0192359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0,0269290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0,0362781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0,0464392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0,0588291</w:t>
            </w:r>
          </w:p>
        </w:tc>
      </w:tr>
      <w:tr w:rsidR="00F77097" w:rsidTr="006A1E9B">
        <w:tc>
          <w:tcPr>
            <w:tcW w:w="3070" w:type="dxa"/>
            <w:vMerge/>
          </w:tcPr>
          <w:p w:rsidR="00F77097" w:rsidRDefault="00F77097" w:rsidP="00AE203A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0,0699782</w:t>
            </w:r>
          </w:p>
        </w:tc>
      </w:tr>
      <w:tr w:rsidR="00F77097" w:rsidTr="00C22CCF">
        <w:tc>
          <w:tcPr>
            <w:tcW w:w="3070" w:type="dxa"/>
            <w:vMerge w:val="restart"/>
          </w:tcPr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</w:p>
          <w:p w:rsidR="00F77097" w:rsidRDefault="00F77097" w:rsidP="00AE203A">
            <w:pPr>
              <w:jc w:val="center"/>
            </w:pPr>
            <w:r>
              <w:t>0,4</w:t>
            </w: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0,0016505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0,0064391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0,0135348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0,0224814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0,0363157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0,0509476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0,0689190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0,0926160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0,1165936</w:t>
            </w:r>
          </w:p>
        </w:tc>
      </w:tr>
      <w:tr w:rsidR="00F77097" w:rsidTr="00C22CCF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0,1397960</w:t>
            </w:r>
          </w:p>
        </w:tc>
      </w:tr>
    </w:tbl>
    <w:p w:rsidR="00AE203A" w:rsidRPr="0067081B" w:rsidRDefault="00AE203A" w:rsidP="0067081B"/>
    <w:p w:rsidR="00355FE5" w:rsidRDefault="00355FE5" w:rsidP="00355FE5"/>
    <w:p w:rsidR="00355FE5" w:rsidRDefault="00355FE5" w:rsidP="00355FE5">
      <w:pPr>
        <w:rPr>
          <w:noProof/>
          <w:lang w:eastAsia="pl-PL"/>
        </w:rPr>
      </w:pPr>
    </w:p>
    <w:p w:rsidR="00F77097" w:rsidRDefault="00F77097" w:rsidP="00355FE5">
      <w:pPr>
        <w:rPr>
          <w:noProof/>
          <w:lang w:eastAsia="pl-PL"/>
        </w:rPr>
      </w:pPr>
    </w:p>
    <w:p w:rsidR="00F77097" w:rsidRDefault="00F77097" w:rsidP="00355FE5">
      <w:r w:rsidRPr="00F77097">
        <w:rPr>
          <w:noProof/>
          <w:lang w:eastAsia="pl-PL"/>
        </w:rPr>
        <w:lastRenderedPageBreak/>
        <w:drawing>
          <wp:inline distT="0" distB="0" distL="0" distR="0">
            <wp:extent cx="5760720" cy="3337249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5D73" w:rsidRDefault="00285D73" w:rsidP="00355FE5"/>
    <w:p w:rsidR="00721784" w:rsidRDefault="00F77097" w:rsidP="00721784">
      <w:pPr>
        <w:pStyle w:val="Nagwek2"/>
      </w:pPr>
      <w:r>
        <w:t>Liczba łuków powrotnych</w:t>
      </w:r>
    </w:p>
    <w:p w:rsidR="00721784" w:rsidRPr="0067081B" w:rsidRDefault="00721784" w:rsidP="00721784"/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77097" w:rsidTr="00645489">
        <w:tc>
          <w:tcPr>
            <w:tcW w:w="3070" w:type="dxa"/>
          </w:tcPr>
          <w:p w:rsidR="00F77097" w:rsidRPr="00F77097" w:rsidRDefault="00F77097" w:rsidP="00645489">
            <w:pPr>
              <w:jc w:val="center"/>
              <w:rPr>
                <w:b/>
              </w:rPr>
            </w:pPr>
            <w:r w:rsidRPr="00F77097">
              <w:rPr>
                <w:b/>
              </w:rPr>
              <w:t>Gęstość d [-]</w:t>
            </w:r>
          </w:p>
        </w:tc>
        <w:tc>
          <w:tcPr>
            <w:tcW w:w="3071" w:type="dxa"/>
          </w:tcPr>
          <w:p w:rsidR="00F77097" w:rsidRPr="00F77097" w:rsidRDefault="00F77097" w:rsidP="00645489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 [-]</w:t>
            </w:r>
          </w:p>
        </w:tc>
        <w:tc>
          <w:tcPr>
            <w:tcW w:w="3071" w:type="dxa"/>
          </w:tcPr>
          <w:p w:rsidR="00F77097" w:rsidRPr="00F77097" w:rsidRDefault="00F77097" w:rsidP="00F77097">
            <w:pPr>
              <w:jc w:val="center"/>
              <w:rPr>
                <w:b/>
              </w:rPr>
            </w:pPr>
            <w:r>
              <w:rPr>
                <w:b/>
              </w:rPr>
              <w:t>Liczba łuków powrotnych</w:t>
            </w:r>
            <w:r w:rsidRPr="00F77097">
              <w:rPr>
                <w:b/>
              </w:rPr>
              <w:t xml:space="preserve"> [</w:t>
            </w:r>
            <w:r>
              <w:rPr>
                <w:b/>
              </w:rPr>
              <w:t>-</w:t>
            </w:r>
            <w:r w:rsidRPr="00F77097">
              <w:rPr>
                <w:b/>
              </w:rPr>
              <w:t>]</w:t>
            </w:r>
          </w:p>
        </w:tc>
      </w:tr>
      <w:tr w:rsidR="00F77097" w:rsidTr="00645489">
        <w:tc>
          <w:tcPr>
            <w:tcW w:w="3070" w:type="dxa"/>
            <w:vMerge w:val="restart"/>
          </w:tcPr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  <w:r>
              <w:t>0,2</w:t>
            </w: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100013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399817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901077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1598934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2499088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3600113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4900051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6399238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8100334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9998804</w:t>
            </w:r>
          </w:p>
        </w:tc>
      </w:tr>
      <w:tr w:rsidR="00F77097" w:rsidTr="00645489">
        <w:tc>
          <w:tcPr>
            <w:tcW w:w="3070" w:type="dxa"/>
            <w:vMerge w:val="restart"/>
          </w:tcPr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</w:p>
          <w:p w:rsidR="00F77097" w:rsidRDefault="00F77097" w:rsidP="00645489">
            <w:pPr>
              <w:jc w:val="center"/>
            </w:pPr>
            <w:r>
              <w:t>0,4</w:t>
            </w: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199630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799085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1799098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3198666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4998579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7197751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9799246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12803603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16196647</w:t>
            </w:r>
          </w:p>
        </w:tc>
      </w:tr>
      <w:tr w:rsidR="00F77097" w:rsidTr="00645489">
        <w:tc>
          <w:tcPr>
            <w:tcW w:w="3070" w:type="dxa"/>
            <w:vMerge/>
          </w:tcPr>
          <w:p w:rsidR="00F77097" w:rsidRDefault="00F77097" w:rsidP="00645489">
            <w:pPr>
              <w:jc w:val="center"/>
            </w:pPr>
          </w:p>
        </w:tc>
        <w:tc>
          <w:tcPr>
            <w:tcW w:w="3071" w:type="dxa"/>
            <w:vAlign w:val="bottom"/>
          </w:tcPr>
          <w:p w:rsidR="00F77097" w:rsidRDefault="00F77097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3071" w:type="dxa"/>
            <w:vAlign w:val="bottom"/>
          </w:tcPr>
          <w:p w:rsidR="00F77097" w:rsidRDefault="00F77097" w:rsidP="00F7709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19998249</w:t>
            </w:r>
          </w:p>
        </w:tc>
      </w:tr>
    </w:tbl>
    <w:p w:rsidR="00355FE5" w:rsidRDefault="00355FE5" w:rsidP="00355FE5"/>
    <w:p w:rsidR="000C764F" w:rsidRDefault="000C764F" w:rsidP="00355FE5"/>
    <w:p w:rsidR="00724383" w:rsidRDefault="00724383" w:rsidP="00724383"/>
    <w:p w:rsidR="00724383" w:rsidRDefault="00724383" w:rsidP="00724383">
      <w:pPr>
        <w:pStyle w:val="Nagwek2"/>
      </w:pPr>
      <w:r>
        <w:lastRenderedPageBreak/>
        <w:t>Czas liczenia łuków powrotnych</w:t>
      </w:r>
    </w:p>
    <w:p w:rsidR="00724383" w:rsidRPr="0067081B" w:rsidRDefault="00724383" w:rsidP="00724383"/>
    <w:tbl>
      <w:tblPr>
        <w:tblStyle w:val="Tabela-Siatka"/>
        <w:tblW w:w="0" w:type="auto"/>
        <w:tblLook w:val="04A0"/>
      </w:tblPr>
      <w:tblGrid>
        <w:gridCol w:w="1908"/>
        <w:gridCol w:w="2210"/>
        <w:gridCol w:w="2051"/>
        <w:gridCol w:w="1595"/>
        <w:gridCol w:w="1524"/>
      </w:tblGrid>
      <w:tr w:rsidR="00724383" w:rsidTr="00724383">
        <w:tc>
          <w:tcPr>
            <w:tcW w:w="1908" w:type="dxa"/>
          </w:tcPr>
          <w:p w:rsidR="00724383" w:rsidRDefault="00724383" w:rsidP="00645489">
            <w:pPr>
              <w:jc w:val="center"/>
              <w:rPr>
                <w:b/>
              </w:rPr>
            </w:pPr>
          </w:p>
          <w:p w:rsidR="00724383" w:rsidRPr="00F77097" w:rsidRDefault="00724383" w:rsidP="00645489">
            <w:pPr>
              <w:jc w:val="center"/>
              <w:rPr>
                <w:b/>
              </w:rPr>
            </w:pPr>
            <w:r w:rsidRPr="00F77097">
              <w:rPr>
                <w:b/>
              </w:rPr>
              <w:t>Gęstość d [-]</w:t>
            </w:r>
          </w:p>
        </w:tc>
        <w:tc>
          <w:tcPr>
            <w:tcW w:w="2210" w:type="dxa"/>
          </w:tcPr>
          <w:p w:rsidR="00724383" w:rsidRDefault="00724383" w:rsidP="00645489">
            <w:pPr>
              <w:jc w:val="center"/>
              <w:rPr>
                <w:b/>
              </w:rPr>
            </w:pPr>
          </w:p>
          <w:p w:rsidR="00724383" w:rsidRPr="00F77097" w:rsidRDefault="00724383" w:rsidP="00645489">
            <w:pPr>
              <w:jc w:val="center"/>
              <w:rPr>
                <w:b/>
              </w:rPr>
            </w:pPr>
            <w:r w:rsidRPr="00F77097">
              <w:rPr>
                <w:b/>
              </w:rPr>
              <w:t>Liczba wierzchołków n [-]</w:t>
            </w:r>
          </w:p>
        </w:tc>
        <w:tc>
          <w:tcPr>
            <w:tcW w:w="2051" w:type="dxa"/>
          </w:tcPr>
          <w:p w:rsidR="00724383" w:rsidRPr="00F77097" w:rsidRDefault="00724383" w:rsidP="00724383">
            <w:pPr>
              <w:jc w:val="center"/>
              <w:rPr>
                <w:b/>
              </w:rPr>
            </w:pPr>
            <w:r>
              <w:rPr>
                <w:b/>
              </w:rPr>
              <w:t>Czas liczenia łuków powrotnych dla listy następników</w:t>
            </w:r>
            <w:r w:rsidRPr="00F77097">
              <w:rPr>
                <w:b/>
              </w:rPr>
              <w:t xml:space="preserve"> [</w:t>
            </w:r>
            <w:r>
              <w:rPr>
                <w:b/>
              </w:rPr>
              <w:t>s</w:t>
            </w:r>
            <w:r w:rsidRPr="00F77097">
              <w:rPr>
                <w:b/>
              </w:rPr>
              <w:t>]</w:t>
            </w:r>
          </w:p>
        </w:tc>
        <w:tc>
          <w:tcPr>
            <w:tcW w:w="1595" w:type="dxa"/>
          </w:tcPr>
          <w:p w:rsidR="00724383" w:rsidRPr="00724383" w:rsidRDefault="00724383" w:rsidP="00724383">
            <w:pPr>
              <w:jc w:val="center"/>
              <w:rPr>
                <w:b/>
                <w:sz w:val="18"/>
                <w:szCs w:val="18"/>
              </w:rPr>
            </w:pPr>
            <w:r w:rsidRPr="00724383">
              <w:rPr>
                <w:b/>
                <w:sz w:val="18"/>
                <w:szCs w:val="18"/>
              </w:rPr>
              <w:t>Czas liczenia łuków powrotnych dla listy łuków [s]</w:t>
            </w:r>
          </w:p>
        </w:tc>
        <w:tc>
          <w:tcPr>
            <w:tcW w:w="1524" w:type="dxa"/>
          </w:tcPr>
          <w:p w:rsidR="00724383" w:rsidRPr="00724383" w:rsidRDefault="00724383" w:rsidP="00724383">
            <w:pPr>
              <w:jc w:val="center"/>
              <w:rPr>
                <w:b/>
                <w:sz w:val="18"/>
                <w:szCs w:val="18"/>
              </w:rPr>
            </w:pPr>
            <w:r w:rsidRPr="00724383">
              <w:rPr>
                <w:b/>
                <w:sz w:val="18"/>
                <w:szCs w:val="18"/>
              </w:rPr>
              <w:t>Czas liczenia łuków powrotnych dla macierzy sąsiedztwa[s]</w:t>
            </w:r>
          </w:p>
        </w:tc>
      </w:tr>
      <w:tr w:rsidR="00724383" w:rsidTr="00724383">
        <w:tc>
          <w:tcPr>
            <w:tcW w:w="1908" w:type="dxa"/>
            <w:vMerge w:val="restart"/>
          </w:tcPr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  <w:r>
              <w:t>0,2</w:t>
            </w: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0,0009204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0,0012234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0,0054743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0,0038016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0,0043428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0,0248095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0,0075682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0,0114823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0,0475572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0,0133349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0,0187042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0,0856159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0,0277148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0,0309870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0,1300095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0,0320190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0,0432310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0,1905528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0,0440020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0,0564093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0,2628153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0,0541030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0,0746728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0,3353503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0,0671396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0,0946612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0,4326404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0,0880456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0,1202503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0,5286951</w:t>
            </w:r>
          </w:p>
        </w:tc>
      </w:tr>
      <w:tr w:rsidR="00724383" w:rsidTr="00724383">
        <w:tc>
          <w:tcPr>
            <w:tcW w:w="1908" w:type="dxa"/>
            <w:vMerge w:val="restart"/>
          </w:tcPr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</w:p>
          <w:p w:rsidR="00724383" w:rsidRDefault="00724383" w:rsidP="00645489">
            <w:pPr>
              <w:jc w:val="center"/>
            </w:pPr>
            <w:r>
              <w:t>0,4</w:t>
            </w: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0,0016608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0,0025465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0,0087435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0,0064328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0,0088968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0,0357203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0,0159522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0,0209063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0,0804513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0,0266663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0,0350140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0,1471797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0,0426746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0,0615921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0,2252527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0,0618735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0,0850202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0,3309031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0,0818364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0,1263731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0,4373816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0,1084640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0,1660275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0,6002066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0,1349264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0,1816642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0,7281815</w:t>
            </w:r>
          </w:p>
        </w:tc>
      </w:tr>
      <w:tr w:rsidR="00724383" w:rsidTr="00724383">
        <w:tc>
          <w:tcPr>
            <w:tcW w:w="1908" w:type="dxa"/>
            <w:vMerge/>
          </w:tcPr>
          <w:p w:rsidR="00724383" w:rsidRDefault="00724383" w:rsidP="00645489">
            <w:pPr>
              <w:jc w:val="center"/>
            </w:pPr>
          </w:p>
        </w:tc>
        <w:tc>
          <w:tcPr>
            <w:tcW w:w="2210" w:type="dxa"/>
            <w:vAlign w:val="bottom"/>
          </w:tcPr>
          <w:p w:rsidR="00724383" w:rsidRDefault="00724383" w:rsidP="0064548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10000</w:t>
            </w:r>
          </w:p>
        </w:tc>
        <w:tc>
          <w:tcPr>
            <w:tcW w:w="2051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0,1639880</w:t>
            </w:r>
          </w:p>
        </w:tc>
        <w:tc>
          <w:tcPr>
            <w:tcW w:w="1595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0,2326016</w:t>
            </w:r>
          </w:p>
        </w:tc>
        <w:tc>
          <w:tcPr>
            <w:tcW w:w="1524" w:type="dxa"/>
            <w:vAlign w:val="bottom"/>
          </w:tcPr>
          <w:p w:rsidR="00724383" w:rsidRDefault="00724383" w:rsidP="0072438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0,8941303</w:t>
            </w:r>
          </w:p>
        </w:tc>
      </w:tr>
    </w:tbl>
    <w:p w:rsidR="00724383" w:rsidRDefault="00724383" w:rsidP="00724383"/>
    <w:p w:rsidR="00724383" w:rsidRDefault="00724383" w:rsidP="00355FE5"/>
    <w:p w:rsidR="000C764F" w:rsidRDefault="000C764F" w:rsidP="00355FE5"/>
    <w:p w:rsidR="000C764F" w:rsidRDefault="0032647C" w:rsidP="00355FE5">
      <w:r w:rsidRPr="0032647C">
        <w:rPr>
          <w:noProof/>
          <w:lang w:eastAsia="pl-PL"/>
        </w:rPr>
        <w:drawing>
          <wp:inline distT="0" distB="0" distL="0" distR="0">
            <wp:extent cx="5760720" cy="3200672"/>
            <wp:effectExtent l="19050" t="0" r="1143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B41F3" w:rsidRDefault="0032647C" w:rsidP="00355FE5">
      <w:r w:rsidRPr="0032647C">
        <w:rPr>
          <w:noProof/>
          <w:lang w:eastAsia="pl-PL"/>
        </w:rPr>
        <w:lastRenderedPageBreak/>
        <w:drawing>
          <wp:inline distT="0" distB="0" distL="0" distR="0">
            <wp:extent cx="5760720" cy="3200672"/>
            <wp:effectExtent l="19050" t="0" r="1143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5D73" w:rsidRDefault="00285D73" w:rsidP="00355FE5"/>
    <w:p w:rsidR="00285D73" w:rsidRDefault="00285D73" w:rsidP="00285D73">
      <w:pPr>
        <w:pStyle w:val="Nagwek1"/>
      </w:pPr>
      <w:r>
        <w:t>Wnioski</w:t>
      </w:r>
    </w:p>
    <w:p w:rsidR="00285D73" w:rsidRDefault="00285D73" w:rsidP="00285D73"/>
    <w:p w:rsidR="00161F58" w:rsidRDefault="00285D73" w:rsidP="00285D73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Program do pozyskania analizowanych danych został napisany w języku C#. </w:t>
      </w:r>
      <w:proofErr w:type="spellStart"/>
      <w:r>
        <w:rPr>
          <w:sz w:val="24"/>
          <w:szCs w:val="24"/>
        </w:rPr>
        <w:t>Podprocedura</w:t>
      </w:r>
      <w:proofErr w:type="spellEnd"/>
      <w:r>
        <w:rPr>
          <w:sz w:val="24"/>
          <w:szCs w:val="24"/>
        </w:rPr>
        <w:t xml:space="preserve"> obliczająca etykiety czasowe zaimplementowana została dla listy następników. Kryterium branym pod uwagę w wyborze struktury reprezentującej gr</w:t>
      </w:r>
      <w:r w:rsidR="00161F58">
        <w:rPr>
          <w:sz w:val="24"/>
          <w:szCs w:val="24"/>
        </w:rPr>
        <w:t>af była szybkość. Ponieważ obliczanie etykiet czasowych działało w oparciu o wyszukiwanie zbioru następników, lista następników, dla której złożoność czasowa wyznaczania zbioru następników wynosi O(n), była najlepszym wyborem. Wyn</w:t>
      </w:r>
      <w:r w:rsidR="009060DE">
        <w:rPr>
          <w:sz w:val="24"/>
          <w:szCs w:val="24"/>
        </w:rPr>
        <w:t>iki zaprezentowane w tabelach i </w:t>
      </w:r>
      <w:r w:rsidR="00161F58">
        <w:rPr>
          <w:sz w:val="24"/>
          <w:szCs w:val="24"/>
        </w:rPr>
        <w:t xml:space="preserve">na wykresach są średnimi z czterech środkowych pomiarów ze zbioru dziesięciu wygenerowanych pomiarów. </w:t>
      </w:r>
      <w:r w:rsidR="00E47FBF">
        <w:rPr>
          <w:sz w:val="24"/>
          <w:szCs w:val="24"/>
        </w:rPr>
        <w:t>Pozwoliło to nie brać pod uwagę zdarzających się z różnych powodów mocno skrajnych pomiarów.</w:t>
      </w:r>
    </w:p>
    <w:p w:rsidR="000C2D30" w:rsidRDefault="00161F58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Metoda sortowania topologicznego oparta jest na algorytmie przeszukiwania grafu w</w:t>
      </w:r>
      <w:r w:rsidR="009060DE">
        <w:rPr>
          <w:sz w:val="24"/>
          <w:szCs w:val="24"/>
        </w:rPr>
        <w:t> </w:t>
      </w:r>
      <w:r>
        <w:rPr>
          <w:sz w:val="24"/>
          <w:szCs w:val="24"/>
        </w:rPr>
        <w:t xml:space="preserve">głąb (ang. </w:t>
      </w:r>
      <w:proofErr w:type="spellStart"/>
      <w:r>
        <w:rPr>
          <w:sz w:val="24"/>
          <w:szCs w:val="24"/>
        </w:rPr>
        <w:t>depth-first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w skrócie DFS)</w:t>
      </w:r>
      <w:r w:rsidR="00B81157">
        <w:rPr>
          <w:sz w:val="24"/>
          <w:szCs w:val="24"/>
        </w:rPr>
        <w:t xml:space="preserve">. </w:t>
      </w:r>
      <w:r w:rsidR="00D34CA1" w:rsidRPr="00D34CA1">
        <w:rPr>
          <w:sz w:val="24"/>
          <w:szCs w:val="24"/>
        </w:rPr>
        <w:t>Algorytm polega na sprawdzaniu wszystkich wierzchołków grafu sąsiadujących z danym wierzchołkiem</w:t>
      </w:r>
      <w:r w:rsidR="00B81157">
        <w:rPr>
          <w:sz w:val="24"/>
          <w:szCs w:val="24"/>
        </w:rPr>
        <w:t>. W przypadku, gdy odwiedzone zostały już wszystkie z nich, algorytm cofa się do wierzchołka, z którego wyprowadzona została krawędź na obecny.</w:t>
      </w:r>
      <w:r w:rsidR="00462730">
        <w:rPr>
          <w:sz w:val="24"/>
          <w:szCs w:val="24"/>
        </w:rPr>
        <w:t xml:space="preserve"> Sortowanie topologiczne polega na dodatkowym odnotowaniu kol</w:t>
      </w:r>
      <w:r w:rsidR="00D34CA1">
        <w:rPr>
          <w:sz w:val="24"/>
          <w:szCs w:val="24"/>
        </w:rPr>
        <w:t>ejności odwiedzenia oraz </w:t>
      </w:r>
      <w:r w:rsidR="00462730">
        <w:rPr>
          <w:sz w:val="24"/>
          <w:szCs w:val="24"/>
        </w:rPr>
        <w:t>opuszczenia każdego z wier</w:t>
      </w:r>
      <w:r w:rsidR="0060653C">
        <w:rPr>
          <w:sz w:val="24"/>
          <w:szCs w:val="24"/>
        </w:rPr>
        <w:t>zchołków</w:t>
      </w:r>
      <w:r w:rsidR="0053373C">
        <w:rPr>
          <w:sz w:val="24"/>
          <w:szCs w:val="24"/>
        </w:rPr>
        <w:t xml:space="preserve">, co osiągane jest </w:t>
      </w:r>
      <w:r w:rsidR="0053373C">
        <w:rPr>
          <w:sz w:val="24"/>
          <w:szCs w:val="24"/>
        </w:rPr>
        <w:lastRenderedPageBreak/>
        <w:t>przez </w:t>
      </w:r>
      <w:r w:rsidR="0060653C">
        <w:rPr>
          <w:sz w:val="24"/>
          <w:szCs w:val="24"/>
        </w:rPr>
        <w:t>zapisywanie kolejności w </w:t>
      </w:r>
      <w:r w:rsidR="00462730">
        <w:rPr>
          <w:sz w:val="24"/>
          <w:szCs w:val="24"/>
        </w:rPr>
        <w:t>etykietach wejściowej i wyjściowej każdego wierzchołka. Po</w:t>
      </w:r>
      <w:r w:rsidR="0053373C">
        <w:rPr>
          <w:sz w:val="24"/>
          <w:szCs w:val="24"/>
        </w:rPr>
        <w:t> </w:t>
      </w:r>
      <w:r w:rsidR="00462730">
        <w:rPr>
          <w:sz w:val="24"/>
          <w:szCs w:val="24"/>
        </w:rPr>
        <w:t>uporządkowaniu wierzchołków w odwrotnej kolejności etykiet wyjściowych będą one posortowane topologicznie.</w:t>
      </w:r>
      <w:r w:rsidR="00B81157">
        <w:rPr>
          <w:sz w:val="24"/>
          <w:szCs w:val="24"/>
        </w:rPr>
        <w:t xml:space="preserve"> Złożoność obliczeniowa sortowania topologicznego uzależniona jest od złożoności algorytmu DFS, który wynosi O(</w:t>
      </w:r>
      <w:proofErr w:type="spellStart"/>
      <w:r w:rsidR="0028602F">
        <w:rPr>
          <w:sz w:val="24"/>
          <w:szCs w:val="24"/>
        </w:rPr>
        <w:t>n+m</w:t>
      </w:r>
      <w:proofErr w:type="spellEnd"/>
      <w:r w:rsidR="00B81157">
        <w:rPr>
          <w:sz w:val="24"/>
          <w:szCs w:val="24"/>
        </w:rPr>
        <w:t>), ponieważ algorytm musi zbadać wszystkie wierzchołki oraz wszystkie łuki z nich wychodzące.</w:t>
      </w:r>
      <w:r w:rsidR="00462730">
        <w:rPr>
          <w:sz w:val="24"/>
          <w:szCs w:val="24"/>
        </w:rPr>
        <w:t xml:space="preserve"> </w:t>
      </w:r>
      <w:r w:rsidR="00065DB3">
        <w:rPr>
          <w:sz w:val="24"/>
          <w:szCs w:val="24"/>
        </w:rPr>
        <w:t xml:space="preserve">Wynika z tego, że korzystniejsza dla </w:t>
      </w:r>
      <w:r w:rsidR="0060653C">
        <w:rPr>
          <w:sz w:val="24"/>
          <w:szCs w:val="24"/>
        </w:rPr>
        <w:t>złożoności</w:t>
      </w:r>
      <w:r w:rsidR="00065DB3">
        <w:rPr>
          <w:sz w:val="24"/>
          <w:szCs w:val="24"/>
        </w:rPr>
        <w:t xml:space="preserve"> obliczeniowej jest mała gęstość, ponieważ większa gęstość wiąże się z większą liczbą łuków w grafie (co można stwierdzić na podstawie zapr</w:t>
      </w:r>
      <w:r w:rsidR="000C2D30">
        <w:rPr>
          <w:sz w:val="24"/>
          <w:szCs w:val="24"/>
        </w:rPr>
        <w:t>ezentowanych wyników). Najniższą złożoność obliczeniową można osiągnąć w przypadku, w którym liczba łuków równa będzie liczbie wierzchołków, wynosić ona będzie wt</w:t>
      </w:r>
      <w:r w:rsidR="00D34CA1">
        <w:rPr>
          <w:sz w:val="24"/>
          <w:szCs w:val="24"/>
        </w:rPr>
        <w:t>edy O(n). Należy powiedzieć, że </w:t>
      </w:r>
      <w:r w:rsidR="000C2D30">
        <w:rPr>
          <w:sz w:val="24"/>
          <w:szCs w:val="24"/>
        </w:rPr>
        <w:t xml:space="preserve">złożoność obliczeniowa zależy również od wykorzystanej reprezentacji grafu. Jak zostało powiedziane, algorytm DFS opiera się na wyszukiwaniu następników, stąd lista następników pozwala osiągnąć możliwie najmniejszą </w:t>
      </w:r>
      <w:r w:rsidR="00D34CA1">
        <w:rPr>
          <w:sz w:val="24"/>
          <w:szCs w:val="24"/>
        </w:rPr>
        <w:t>złożoność</w:t>
      </w:r>
      <w:r w:rsidR="000C2D30">
        <w:rPr>
          <w:sz w:val="24"/>
          <w:szCs w:val="24"/>
        </w:rPr>
        <w:t xml:space="preserve"> obliczeniową. Lista poprzedników cechuje się większą złożonością obliczeniową wyznaczenia zbioru następników (O(</w:t>
      </w:r>
      <w:proofErr w:type="spellStart"/>
      <w:r w:rsidR="000C2D30">
        <w:rPr>
          <w:sz w:val="24"/>
          <w:szCs w:val="24"/>
        </w:rPr>
        <w:t>n+m</w:t>
      </w:r>
      <w:proofErr w:type="spellEnd"/>
      <w:r w:rsidR="000C2D30">
        <w:rPr>
          <w:sz w:val="24"/>
          <w:szCs w:val="24"/>
        </w:rPr>
        <w:t>)), macierz incydencji jeszcze większą (O(</w:t>
      </w:r>
      <w:proofErr w:type="spellStart"/>
      <w:r w:rsidR="000C2D30">
        <w:rPr>
          <w:sz w:val="24"/>
          <w:szCs w:val="24"/>
        </w:rPr>
        <w:t>n*m</w:t>
      </w:r>
      <w:proofErr w:type="spellEnd"/>
      <w:r w:rsidR="000C2D30">
        <w:rPr>
          <w:sz w:val="24"/>
          <w:szCs w:val="24"/>
        </w:rPr>
        <w:t xml:space="preserve">)), co czyni ją najgorszym wyborem. Najlepsze </w:t>
      </w:r>
      <w:r w:rsidR="005145EB">
        <w:rPr>
          <w:sz w:val="24"/>
          <w:szCs w:val="24"/>
        </w:rPr>
        <w:t xml:space="preserve">pod kątem </w:t>
      </w:r>
      <w:r w:rsidR="000C2D30">
        <w:rPr>
          <w:sz w:val="24"/>
          <w:szCs w:val="24"/>
        </w:rPr>
        <w:t xml:space="preserve">szybkości wyznaczania zbioru następników </w:t>
      </w:r>
      <w:r w:rsidR="00D34CA1">
        <w:rPr>
          <w:sz w:val="24"/>
          <w:szCs w:val="24"/>
        </w:rPr>
        <w:t xml:space="preserve">są struktury macierzy </w:t>
      </w:r>
      <w:proofErr w:type="spellStart"/>
      <w:r w:rsidR="00D34CA1">
        <w:rPr>
          <w:sz w:val="24"/>
          <w:szCs w:val="24"/>
        </w:rPr>
        <w:t>sąsiedztw</w:t>
      </w:r>
      <w:proofErr w:type="spellEnd"/>
      <w:r w:rsidR="000C2D30">
        <w:rPr>
          <w:sz w:val="24"/>
          <w:szCs w:val="24"/>
        </w:rPr>
        <w:t xml:space="preserve"> oraz listy następników, obie cechujące się złożonością obliczeniową tej operacji równą O(n).</w:t>
      </w:r>
      <w:r w:rsidR="00D34CA1">
        <w:rPr>
          <w:sz w:val="24"/>
          <w:szCs w:val="24"/>
        </w:rPr>
        <w:t xml:space="preserve"> </w:t>
      </w:r>
      <w:r w:rsidR="000C2D30">
        <w:rPr>
          <w:sz w:val="24"/>
          <w:szCs w:val="24"/>
        </w:rPr>
        <w:t xml:space="preserve"> </w:t>
      </w:r>
      <w:r w:rsidR="0028602F">
        <w:rPr>
          <w:sz w:val="24"/>
          <w:szCs w:val="24"/>
        </w:rPr>
        <w:t>Złożoność listy łuków zależna jest nie od liczby wierzchołków, lecz od liczby łuków i wynosi O(m).</w:t>
      </w:r>
    </w:p>
    <w:p w:rsidR="00C301EB" w:rsidRDefault="00C301EB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 podpunktu 2.2. wynika, że wygenerowane grafy były cykliczne. Graf acykliczny cechuje się liczbą łuków powrotnych równą 0, co nie miało miejsca w tym przypadku. </w:t>
      </w:r>
      <w:r w:rsidR="00162FA1">
        <w:rPr>
          <w:sz w:val="24"/>
          <w:szCs w:val="24"/>
        </w:rPr>
        <w:t>Sortowanie topologiczne wymaga, by graf był skierowany oraz a</w:t>
      </w:r>
      <w:r w:rsidR="007D2332">
        <w:rPr>
          <w:sz w:val="24"/>
          <w:szCs w:val="24"/>
        </w:rPr>
        <w:t>cykliczny. W grafie, w </w:t>
      </w:r>
      <w:r w:rsidR="00162FA1">
        <w:rPr>
          <w:sz w:val="24"/>
          <w:szCs w:val="24"/>
        </w:rPr>
        <w:t xml:space="preserve">którym występują cykle, nie zawsze jest możliwe wyznaczenie poprzednika, który nie jest jednocześnie następnikiem jednego ze swoich następników. </w:t>
      </w:r>
      <w:r w:rsidR="00EB4D7D">
        <w:rPr>
          <w:sz w:val="24"/>
          <w:szCs w:val="24"/>
        </w:rPr>
        <w:t>Algorytm sortowania topologicznego, choć nie pozwoli posortować wierzchołków grafu cyklicznego, może pomóc w wykryciu łuków powrotnych. Między dwoma wierzchołkami istnieje łuk powrotny, jeżeli spełniony jest warunek: d[v] &lt; d[u] &lt; f[u] &lt; f[v], gdzie u</w:t>
      </w:r>
      <w:r w:rsidR="00310DC0">
        <w:rPr>
          <w:sz w:val="24"/>
          <w:szCs w:val="24"/>
        </w:rPr>
        <w:t xml:space="preserve"> jest wierzchołkiem, z którego wychodzi łuk,</w:t>
      </w:r>
      <w:r w:rsidR="00EB4D7D">
        <w:rPr>
          <w:sz w:val="24"/>
          <w:szCs w:val="24"/>
        </w:rPr>
        <w:t xml:space="preserve"> v </w:t>
      </w:r>
      <w:r w:rsidR="00310DC0">
        <w:rPr>
          <w:sz w:val="24"/>
          <w:szCs w:val="24"/>
        </w:rPr>
        <w:t>jego następnikiem</w:t>
      </w:r>
      <w:r w:rsidR="00EB4D7D">
        <w:rPr>
          <w:sz w:val="24"/>
          <w:szCs w:val="24"/>
        </w:rPr>
        <w:t xml:space="preserve">, d[x] oznacza wartość etykiety </w:t>
      </w:r>
      <w:r w:rsidR="00211700">
        <w:rPr>
          <w:sz w:val="24"/>
          <w:szCs w:val="24"/>
        </w:rPr>
        <w:t>rozpoczęcia analizy wierzchołka</w:t>
      </w:r>
      <w:r w:rsidR="00EB4D7D">
        <w:rPr>
          <w:sz w:val="24"/>
          <w:szCs w:val="24"/>
        </w:rPr>
        <w:t xml:space="preserve"> x, a f[x] oznacza wartość etykiety </w:t>
      </w:r>
      <w:r w:rsidR="00211700">
        <w:rPr>
          <w:sz w:val="24"/>
          <w:szCs w:val="24"/>
        </w:rPr>
        <w:t xml:space="preserve">zakończenia analizy wierzchołka </w:t>
      </w:r>
      <w:r w:rsidR="00EB4D7D">
        <w:rPr>
          <w:sz w:val="24"/>
          <w:szCs w:val="24"/>
        </w:rPr>
        <w:t>x.</w:t>
      </w:r>
    </w:p>
    <w:p w:rsidR="00B8453A" w:rsidRPr="00B8453A" w:rsidRDefault="00211700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6D6C">
        <w:rPr>
          <w:sz w:val="24"/>
          <w:szCs w:val="24"/>
        </w:rPr>
        <w:t>Procedura zliczania liczby łuków powrotnych musi przejść przez daną reprezentację grafu i odnaleźć wszystkie łuki. Z tego powodu najkorzystnie</w:t>
      </w:r>
      <w:r w:rsidR="007D2332">
        <w:rPr>
          <w:sz w:val="24"/>
          <w:szCs w:val="24"/>
        </w:rPr>
        <w:t>jsza jest reprezentacja grafu o </w:t>
      </w:r>
      <w:r w:rsidR="002E6D6C">
        <w:rPr>
          <w:sz w:val="24"/>
          <w:szCs w:val="24"/>
        </w:rPr>
        <w:t xml:space="preserve">najniższej złożoności obliczeniowej wyznaczania zbioru łuków. Macierz sąsiedztwa cechuje </w:t>
      </w:r>
      <w:r w:rsidR="002E6D6C">
        <w:rPr>
          <w:sz w:val="24"/>
          <w:szCs w:val="24"/>
        </w:rPr>
        <w:lastRenderedPageBreak/>
        <w:t>się złożonością obliczeniową tej operacji równą O(n</w:t>
      </w:r>
      <w:r w:rsidR="002E6D6C">
        <w:rPr>
          <w:sz w:val="24"/>
          <w:szCs w:val="24"/>
          <w:vertAlign w:val="superscript"/>
        </w:rPr>
        <w:t>2</w:t>
      </w:r>
      <w:r w:rsidR="002E6D6C">
        <w:rPr>
          <w:sz w:val="24"/>
          <w:szCs w:val="24"/>
        </w:rPr>
        <w:t xml:space="preserve">), co czyni ją najgorszym wyborem. </w:t>
      </w:r>
      <w:r w:rsidR="00B8453A">
        <w:rPr>
          <w:sz w:val="24"/>
          <w:szCs w:val="24"/>
        </w:rPr>
        <w:t>Złożoność obliczeniowa w przypadku listy łuków wynosi O(n), co powinno czynić zliczanie szybszym niż w przypadku listy następników, dla której wynosi ona O(</w:t>
      </w:r>
      <w:proofErr w:type="spellStart"/>
      <w:r w:rsidR="00B8453A">
        <w:rPr>
          <w:sz w:val="24"/>
          <w:szCs w:val="24"/>
        </w:rPr>
        <w:t>n+m</w:t>
      </w:r>
      <w:proofErr w:type="spellEnd"/>
      <w:r w:rsidR="00B8453A">
        <w:rPr>
          <w:sz w:val="24"/>
          <w:szCs w:val="24"/>
        </w:rPr>
        <w:t>).</w:t>
      </w:r>
      <w:r w:rsidR="00310DC0">
        <w:rPr>
          <w:sz w:val="24"/>
          <w:szCs w:val="24"/>
        </w:rPr>
        <w:t xml:space="preserve"> W praktyce zliczanie łuków działa minimalnie szybciej przy </w:t>
      </w:r>
      <w:r w:rsidR="007D2332">
        <w:rPr>
          <w:sz w:val="24"/>
          <w:szCs w:val="24"/>
        </w:rPr>
        <w:t>liście następników ze względu na brak konieczności odczytywania numeru wierzchołka, z którego wychodzą łuki – w całej pętli dla danego wierzchołka jest on ten sam, zmienia się jedynie numer następnika. W liście łuków odczytany zaś musi być za każdym razem także numer wierzchołka bazowego.</w:t>
      </w:r>
      <w:r w:rsidR="00CA5C1B">
        <w:rPr>
          <w:sz w:val="24"/>
          <w:szCs w:val="24"/>
        </w:rPr>
        <w:t xml:space="preserve"> </w:t>
      </w:r>
      <w:r w:rsidR="00B8453A">
        <w:rPr>
          <w:sz w:val="24"/>
          <w:szCs w:val="24"/>
        </w:rPr>
        <w:t xml:space="preserve">Gęstość grafów wpływa na czas zliczania łuków powrotnych ze względu na to, że wpływa na ich ilość. Na podstawie wyników z tabeli w punkcie 2.3. można stwierdzić, że </w:t>
      </w:r>
      <w:r w:rsidR="007D2332">
        <w:rPr>
          <w:sz w:val="24"/>
          <w:szCs w:val="24"/>
        </w:rPr>
        <w:t>czas zliczania w </w:t>
      </w:r>
      <w:r w:rsidR="00867112">
        <w:rPr>
          <w:sz w:val="24"/>
          <w:szCs w:val="24"/>
        </w:rPr>
        <w:t>przypadku wszystkich trzech badanych reprezentacji grafu jest około dwukrotnie większy dla gęstości 0,4 niż dla gęstości 0,2 .</w:t>
      </w:r>
    </w:p>
    <w:p w:rsidR="00211700" w:rsidRDefault="00B8453A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06EC8">
        <w:rPr>
          <w:sz w:val="24"/>
          <w:szCs w:val="24"/>
        </w:rPr>
        <w:t xml:space="preserve"> </w:t>
      </w:r>
      <w:r w:rsidR="006F67C1">
        <w:rPr>
          <w:sz w:val="24"/>
          <w:szCs w:val="24"/>
        </w:rPr>
        <w:t xml:space="preserve">Macierz sąsiedztwa cechuje się stałym czasem testu łuku, o złożoności czasowej O(1), ponieważ aby sprawdzić, czy dany łuk istnieje, wystarczy odwołać się do wybranej komórki macierzy. </w:t>
      </w:r>
      <w:r w:rsidR="006D58F9">
        <w:rPr>
          <w:sz w:val="24"/>
          <w:szCs w:val="24"/>
        </w:rPr>
        <w:t>Zaletą tej reprezentacji jest również bardzo niska złożoność obliczeniowa wyznaczania zbiorów następników oraz poprzedników, O(n) - wystarczy bowiem przeszukać wiersz lub kolumnę. Wadami macierzy sąsiedztwa są wysoka z</w:t>
      </w:r>
      <w:r w:rsidR="006A3681">
        <w:rPr>
          <w:sz w:val="24"/>
          <w:szCs w:val="24"/>
        </w:rPr>
        <w:t>ajętość</w:t>
      </w:r>
      <w:r w:rsidR="006D58F9">
        <w:rPr>
          <w:sz w:val="24"/>
          <w:szCs w:val="24"/>
        </w:rPr>
        <w:t xml:space="preserve"> pamięciowa O(n</w:t>
      </w:r>
      <w:r w:rsidR="006D58F9">
        <w:rPr>
          <w:sz w:val="24"/>
          <w:szCs w:val="24"/>
          <w:vertAlign w:val="superscript"/>
        </w:rPr>
        <w:t>2</w:t>
      </w:r>
      <w:r w:rsidR="006D58F9">
        <w:rPr>
          <w:sz w:val="24"/>
          <w:szCs w:val="24"/>
        </w:rPr>
        <w:t>), wynikająca z konieczności  przechowywania w pam</w:t>
      </w:r>
      <w:r w:rsidR="00310DC0">
        <w:rPr>
          <w:sz w:val="24"/>
          <w:szCs w:val="24"/>
        </w:rPr>
        <w:t>ięci macierzy kwadratowej n x n</w:t>
      </w:r>
      <w:r w:rsidR="006D58F9">
        <w:rPr>
          <w:sz w:val="24"/>
          <w:szCs w:val="24"/>
        </w:rPr>
        <w:t xml:space="preserve"> oraz duża złożoność obliczeniowa wyznaczania zbioru łuków, która również wynosi O(n</w:t>
      </w:r>
      <w:r w:rsidR="006D58F9">
        <w:rPr>
          <w:sz w:val="24"/>
          <w:szCs w:val="24"/>
          <w:vertAlign w:val="superscript"/>
        </w:rPr>
        <w:t>2</w:t>
      </w:r>
      <w:r w:rsidR="006D58F9">
        <w:rPr>
          <w:sz w:val="24"/>
          <w:szCs w:val="24"/>
        </w:rPr>
        <w:t>).</w:t>
      </w:r>
      <w:r w:rsidR="00F671FE">
        <w:rPr>
          <w:sz w:val="24"/>
          <w:szCs w:val="24"/>
        </w:rPr>
        <w:t xml:space="preserve"> </w:t>
      </w:r>
      <w:r w:rsidR="006A3681">
        <w:rPr>
          <w:sz w:val="24"/>
          <w:szCs w:val="24"/>
        </w:rPr>
        <w:t>Macierz sąsiedztwa jest najlepszą reprezentacją grafu, gdy najczęściej wykonywaną operacją będzie testowanie łuków.</w:t>
      </w:r>
    </w:p>
    <w:p w:rsidR="006D58F9" w:rsidRDefault="006D58F9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671FE">
        <w:rPr>
          <w:sz w:val="24"/>
          <w:szCs w:val="24"/>
        </w:rPr>
        <w:t>List</w:t>
      </w:r>
      <w:r w:rsidR="006A3681">
        <w:rPr>
          <w:sz w:val="24"/>
          <w:szCs w:val="24"/>
        </w:rPr>
        <w:t>a następników również cechuje się złożonością obliczeniową wyznaczenia zbioru następników O(n), lecz w odróżnieniu od macierzy sąsiedztwa, liczba kroków nie będzie zawsze równa n, lecz będzie równa liczbie następników wybranego wierzchołka. Czyni to listę następników najlepszym wyborem reprezentacji grafu w sytuacji, gdy to wyznaczanie następników będzie najczęściej wykonywaną operacją. Zajętość pamięciowa tej struktury to O(</w:t>
      </w:r>
      <w:proofErr w:type="spellStart"/>
      <w:r w:rsidR="006A3681">
        <w:rPr>
          <w:sz w:val="24"/>
          <w:szCs w:val="24"/>
        </w:rPr>
        <w:t>n+m</w:t>
      </w:r>
      <w:proofErr w:type="spellEnd"/>
      <w:r w:rsidR="006A3681">
        <w:rPr>
          <w:sz w:val="24"/>
          <w:szCs w:val="24"/>
        </w:rPr>
        <w:t>), gdzie m potencjalnie osiąga n</w:t>
      </w:r>
      <w:r w:rsidR="006A3681">
        <w:rPr>
          <w:sz w:val="24"/>
          <w:szCs w:val="24"/>
          <w:vertAlign w:val="superscript"/>
        </w:rPr>
        <w:t>2</w:t>
      </w:r>
      <w:r w:rsidR="00310DC0">
        <w:rPr>
          <w:sz w:val="24"/>
          <w:szCs w:val="24"/>
        </w:rPr>
        <w:t xml:space="preserve">, </w:t>
      </w:r>
      <w:r w:rsidR="006A3681">
        <w:rPr>
          <w:sz w:val="24"/>
          <w:szCs w:val="24"/>
        </w:rPr>
        <w:t>gdy graf jest grafem pełnym. Złożoność obliczeniowa wyznaczania zbioru poprzedników lub zbioru łuków również jest wysoka i wynosi O(</w:t>
      </w:r>
      <w:proofErr w:type="spellStart"/>
      <w:r w:rsidR="006A3681">
        <w:rPr>
          <w:sz w:val="24"/>
          <w:szCs w:val="24"/>
        </w:rPr>
        <w:t>n</w:t>
      </w:r>
      <w:r w:rsidR="007D2332">
        <w:rPr>
          <w:sz w:val="24"/>
          <w:szCs w:val="24"/>
        </w:rPr>
        <w:t>+m</w:t>
      </w:r>
      <w:proofErr w:type="spellEnd"/>
      <w:r w:rsidR="007D2332">
        <w:rPr>
          <w:sz w:val="24"/>
          <w:szCs w:val="24"/>
        </w:rPr>
        <w:t>), co </w:t>
      </w:r>
      <w:r w:rsidR="00B7057F">
        <w:rPr>
          <w:sz w:val="24"/>
          <w:szCs w:val="24"/>
        </w:rPr>
        <w:t>czyni listę następników nie najlepszym wyborem w pozostałych sytuacjach. Przykładowo, macierz sąsiedztwa cechuje się złożonością obliczeniową O(n) zarówno dla wyznaczania następników, jak i poprzedników.</w:t>
      </w:r>
    </w:p>
    <w:p w:rsidR="00B7057F" w:rsidRDefault="00B7057F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Lista poprzedników działa analogicznie co lista następników i cechuje się tymi samymi zaletami oraz wadami, lecz w odniesieniu do poprzedników tam, gdzie w liście następników mowa o następnikach, oraz odwrotnie. Z tego powodu jest to najlepsza reprezentacja grafu do wyznaczania zbiorów poprzedników.</w:t>
      </w:r>
    </w:p>
    <w:p w:rsidR="00B7057F" w:rsidRDefault="00B7057F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E62B7">
        <w:rPr>
          <w:sz w:val="24"/>
          <w:szCs w:val="24"/>
        </w:rPr>
        <w:t>Lista łuków posiada zajętość pamięciową O(n), co czyni tę reprezentację najkorzystniejszą pod kątem wykorzystywanej pamięci. Test łuku wymaga sprawdzenia każdego łuku w strukturze, co czyni jego złożoność obliczeniową równą O(m). Z tego samego powodu wyznaczanie następników</w:t>
      </w:r>
      <w:r w:rsidR="00B018ED">
        <w:rPr>
          <w:sz w:val="24"/>
          <w:szCs w:val="24"/>
        </w:rPr>
        <w:t>,</w:t>
      </w:r>
      <w:r w:rsidR="006E62B7">
        <w:rPr>
          <w:sz w:val="24"/>
          <w:szCs w:val="24"/>
        </w:rPr>
        <w:t xml:space="preserve"> poprzedników</w:t>
      </w:r>
      <w:r w:rsidR="00B018ED">
        <w:rPr>
          <w:sz w:val="24"/>
          <w:szCs w:val="24"/>
        </w:rPr>
        <w:t xml:space="preserve"> oraz łuków</w:t>
      </w:r>
      <w:r w:rsidR="006E62B7">
        <w:rPr>
          <w:sz w:val="24"/>
          <w:szCs w:val="24"/>
        </w:rPr>
        <w:t xml:space="preserve"> cechuje się tą samą złożonością obliczeniową, O(m). </w:t>
      </w:r>
      <w:r w:rsidR="00B018ED">
        <w:rPr>
          <w:sz w:val="24"/>
          <w:szCs w:val="24"/>
        </w:rPr>
        <w:t>Jest to najlepsza m</w:t>
      </w:r>
      <w:r w:rsidR="007D2332">
        <w:rPr>
          <w:sz w:val="24"/>
          <w:szCs w:val="24"/>
        </w:rPr>
        <w:t>ożliwa złożoność obliczeniowa w </w:t>
      </w:r>
      <w:r w:rsidR="00B018ED">
        <w:rPr>
          <w:sz w:val="24"/>
          <w:szCs w:val="24"/>
        </w:rPr>
        <w:t>przypadku wyznaczania zbioru łuków.</w:t>
      </w:r>
    </w:p>
    <w:p w:rsidR="00B018ED" w:rsidRPr="006A3681" w:rsidRDefault="00B018ED" w:rsidP="00285D7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Macierz incydencji cechuje się bardzo wysoką złożonością obliczeniową wyznaczania zbiorów następników, poprzedników, oraz łuków, wynosi ona bowiem O(</w:t>
      </w:r>
      <w:proofErr w:type="spellStart"/>
      <w:r>
        <w:rPr>
          <w:sz w:val="24"/>
          <w:szCs w:val="24"/>
        </w:rPr>
        <w:t>n*m</w:t>
      </w:r>
      <w:proofErr w:type="spellEnd"/>
      <w:r>
        <w:rPr>
          <w:sz w:val="24"/>
          <w:szCs w:val="24"/>
        </w:rPr>
        <w:t>). Również zajętość pamięciowa macierzy incydencji wynosi O(</w:t>
      </w:r>
      <w:proofErr w:type="spellStart"/>
      <w:r>
        <w:rPr>
          <w:sz w:val="24"/>
          <w:szCs w:val="24"/>
        </w:rPr>
        <w:t>n*m</w:t>
      </w:r>
      <w:proofErr w:type="spellEnd"/>
      <w:r>
        <w:rPr>
          <w:sz w:val="24"/>
          <w:szCs w:val="24"/>
        </w:rPr>
        <w:t>). Test łuku posiada złożoność obliczeniową O(m). Macierze incydencji są niekorzystną reprezentacją grafów w znacznej większości przypadków, lecz sprawdzają się</w:t>
      </w:r>
      <w:r w:rsidR="00CA0917">
        <w:rPr>
          <w:sz w:val="24"/>
          <w:szCs w:val="24"/>
        </w:rPr>
        <w:t xml:space="preserve"> jako reprezentacja </w:t>
      </w:r>
      <w:proofErr w:type="spellStart"/>
      <w:r w:rsidR="00CA0917">
        <w:rPr>
          <w:sz w:val="24"/>
          <w:szCs w:val="24"/>
        </w:rPr>
        <w:t>hipergrafów</w:t>
      </w:r>
      <w:proofErr w:type="spellEnd"/>
      <w:r w:rsidR="00CA0917">
        <w:rPr>
          <w:sz w:val="24"/>
          <w:szCs w:val="24"/>
        </w:rPr>
        <w:t>.</w:t>
      </w:r>
    </w:p>
    <w:sectPr w:rsidR="00B018ED" w:rsidRPr="006A3681" w:rsidSect="00721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04B8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F91E5F"/>
    <w:rsid w:val="00011AD1"/>
    <w:rsid w:val="00026BC0"/>
    <w:rsid w:val="00065DB3"/>
    <w:rsid w:val="00075C6E"/>
    <w:rsid w:val="000C2D30"/>
    <w:rsid w:val="000C764F"/>
    <w:rsid w:val="00111AA9"/>
    <w:rsid w:val="00161F58"/>
    <w:rsid w:val="00162FA1"/>
    <w:rsid w:val="0020181D"/>
    <w:rsid w:val="00211700"/>
    <w:rsid w:val="00212D0D"/>
    <w:rsid w:val="00223EEA"/>
    <w:rsid w:val="00274F28"/>
    <w:rsid w:val="00285D73"/>
    <w:rsid w:val="0028602F"/>
    <w:rsid w:val="002E6D6C"/>
    <w:rsid w:val="00310DC0"/>
    <w:rsid w:val="0032647C"/>
    <w:rsid w:val="00345DFE"/>
    <w:rsid w:val="00355FE5"/>
    <w:rsid w:val="00447609"/>
    <w:rsid w:val="00462730"/>
    <w:rsid w:val="00472FAB"/>
    <w:rsid w:val="004C7939"/>
    <w:rsid w:val="005145EB"/>
    <w:rsid w:val="0053373C"/>
    <w:rsid w:val="00545C0B"/>
    <w:rsid w:val="00584DDA"/>
    <w:rsid w:val="005E67D5"/>
    <w:rsid w:val="0060653C"/>
    <w:rsid w:val="00613AAB"/>
    <w:rsid w:val="00614F8D"/>
    <w:rsid w:val="0063593D"/>
    <w:rsid w:val="0065395B"/>
    <w:rsid w:val="0067081B"/>
    <w:rsid w:val="006A3681"/>
    <w:rsid w:val="006B3AA9"/>
    <w:rsid w:val="006D58F9"/>
    <w:rsid w:val="006E62B7"/>
    <w:rsid w:val="006F67C1"/>
    <w:rsid w:val="0071442B"/>
    <w:rsid w:val="00721784"/>
    <w:rsid w:val="00724383"/>
    <w:rsid w:val="007B41F3"/>
    <w:rsid w:val="007D2332"/>
    <w:rsid w:val="0084177E"/>
    <w:rsid w:val="00867112"/>
    <w:rsid w:val="008F3861"/>
    <w:rsid w:val="009060DE"/>
    <w:rsid w:val="00A95F73"/>
    <w:rsid w:val="00AE203A"/>
    <w:rsid w:val="00AF67B7"/>
    <w:rsid w:val="00B018ED"/>
    <w:rsid w:val="00B55C55"/>
    <w:rsid w:val="00B7057F"/>
    <w:rsid w:val="00B81157"/>
    <w:rsid w:val="00B8453A"/>
    <w:rsid w:val="00C301EB"/>
    <w:rsid w:val="00C95AD4"/>
    <w:rsid w:val="00CA0917"/>
    <w:rsid w:val="00CA5C1B"/>
    <w:rsid w:val="00CA63C0"/>
    <w:rsid w:val="00CC602D"/>
    <w:rsid w:val="00D06EC8"/>
    <w:rsid w:val="00D15FFB"/>
    <w:rsid w:val="00D34CA1"/>
    <w:rsid w:val="00D475D4"/>
    <w:rsid w:val="00E47FBF"/>
    <w:rsid w:val="00E639F7"/>
    <w:rsid w:val="00E87E5F"/>
    <w:rsid w:val="00E9453E"/>
    <w:rsid w:val="00EB4D7D"/>
    <w:rsid w:val="00F616DF"/>
    <w:rsid w:val="00F671FE"/>
    <w:rsid w:val="00F77097"/>
    <w:rsid w:val="00F91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91E5F"/>
  </w:style>
  <w:style w:type="paragraph" w:styleId="Nagwek1">
    <w:name w:val="heading 1"/>
    <w:basedOn w:val="Normalny"/>
    <w:next w:val="Normalny"/>
    <w:link w:val="Nagwek1Znak"/>
    <w:uiPriority w:val="9"/>
    <w:qFormat/>
    <w:rsid w:val="00F91E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1E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91E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1E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1E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1E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1E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1E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1E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91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91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1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1E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1E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1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1E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1E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1E5F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55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n\Documents\ejc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n\Documents\ejc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n\Documents\ejc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</a:t>
            </a:r>
            <a:r>
              <a:rPr lang="pl-PL" baseline="0"/>
              <a:t> tworzenia etykiet w funkcji liczby elementów</a:t>
            </a: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d = 0.2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1.048100000000001E-3</c:v>
                </c:pt>
                <c:pt idx="1">
                  <c:v>3.420000000000002E-3</c:v>
                </c:pt>
                <c:pt idx="2">
                  <c:v>7.1632000000000032E-3</c:v>
                </c:pt>
                <c:pt idx="3">
                  <c:v>1.30583E-2</c:v>
                </c:pt>
                <c:pt idx="4">
                  <c:v>1.92359E-2</c:v>
                </c:pt>
                <c:pt idx="5">
                  <c:v>2.6929000000000012E-2</c:v>
                </c:pt>
                <c:pt idx="6">
                  <c:v>3.6278100000000035E-2</c:v>
                </c:pt>
                <c:pt idx="7">
                  <c:v>4.6439200000000007E-2</c:v>
                </c:pt>
                <c:pt idx="8">
                  <c:v>5.8829099999999995E-2</c:v>
                </c:pt>
                <c:pt idx="9">
                  <c:v>6.9978200000000032E-2</c:v>
                </c:pt>
              </c:numCache>
            </c:numRef>
          </c:yVal>
          <c:smooth val="1"/>
        </c:ser>
        <c:ser>
          <c:idx val="1"/>
          <c:order val="1"/>
          <c:tx>
            <c:v>d = 0.4</c:v>
          </c:tx>
          <c:xVal>
            <c:numRef>
              <c:f>Arkusz1!$C$16:$C$25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Arkusz1!$D$16:$D$25</c:f>
              <c:numCache>
                <c:formatCode>General</c:formatCode>
                <c:ptCount val="10"/>
                <c:pt idx="0">
                  <c:v>1.650500000000002E-3</c:v>
                </c:pt>
                <c:pt idx="1">
                  <c:v>6.4391000000000092E-3</c:v>
                </c:pt>
                <c:pt idx="2">
                  <c:v>1.3534800000000007E-2</c:v>
                </c:pt>
                <c:pt idx="3">
                  <c:v>2.2481400000000019E-2</c:v>
                </c:pt>
                <c:pt idx="4">
                  <c:v>3.6315699999999999E-2</c:v>
                </c:pt>
                <c:pt idx="5">
                  <c:v>5.094760000000003E-2</c:v>
                </c:pt>
                <c:pt idx="6">
                  <c:v>6.8919000000000022E-2</c:v>
                </c:pt>
                <c:pt idx="7">
                  <c:v>9.2616000000000046E-2</c:v>
                </c:pt>
                <c:pt idx="8">
                  <c:v>0.11659360000000012</c:v>
                </c:pt>
                <c:pt idx="9">
                  <c:v>0.13979600000000014</c:v>
                </c:pt>
              </c:numCache>
            </c:numRef>
          </c:yVal>
          <c:smooth val="1"/>
        </c:ser>
        <c:axId val="105729408"/>
        <c:axId val="105760256"/>
      </c:scatterChart>
      <c:valAx>
        <c:axId val="105729408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 n [-]</a:t>
                </a:r>
              </a:p>
            </c:rich>
          </c:tx>
        </c:title>
        <c:numFmt formatCode="General" sourceLinked="1"/>
        <c:tickLblPos val="nextTo"/>
        <c:crossAx val="105760256"/>
        <c:crosses val="autoZero"/>
        <c:crossBetween val="midCat"/>
      </c:valAx>
      <c:valAx>
        <c:axId val="105760256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tworzenia etykiet [s]</a:t>
                </a:r>
              </a:p>
            </c:rich>
          </c:tx>
        </c:title>
        <c:numFmt formatCode="General" sourceLinked="1"/>
        <c:tickLblPos val="nextTo"/>
        <c:crossAx val="1057294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zliczania</a:t>
            </a:r>
            <a:r>
              <a:rPr lang="pl-PL" baseline="0"/>
              <a:t> łuków powrotnych dla gęstości </a:t>
            </a:r>
          </a:p>
          <a:p>
            <a:pPr>
              <a:defRPr/>
            </a:pPr>
            <a:r>
              <a:rPr lang="pl-PL" baseline="0"/>
              <a:t>d = 0,2</a:t>
            </a: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Lista następników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9.2040000000000004E-4</c:v>
                </c:pt>
                <c:pt idx="1">
                  <c:v>3.8016000000000022E-3</c:v>
                </c:pt>
                <c:pt idx="2">
                  <c:v>7.5682000000000058E-3</c:v>
                </c:pt>
                <c:pt idx="3">
                  <c:v>1.33349E-2</c:v>
                </c:pt>
                <c:pt idx="4">
                  <c:v>2.7714800000000001E-2</c:v>
                </c:pt>
                <c:pt idx="5">
                  <c:v>3.2018999999999999E-2</c:v>
                </c:pt>
                <c:pt idx="6">
                  <c:v>4.4002000000000055E-2</c:v>
                </c:pt>
                <c:pt idx="7">
                  <c:v>5.4103000000000033E-2</c:v>
                </c:pt>
                <c:pt idx="8">
                  <c:v>6.7139599999999994E-2</c:v>
                </c:pt>
                <c:pt idx="9">
                  <c:v>8.8045600000000043E-2</c:v>
                </c:pt>
              </c:numCache>
            </c:numRef>
          </c:yVal>
          <c:smooth val="1"/>
        </c:ser>
        <c:ser>
          <c:idx val="1"/>
          <c:order val="1"/>
          <c:tx>
            <c:v>Lista łuków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Arkusz1!$F$3:$F$12</c:f>
              <c:numCache>
                <c:formatCode>General</c:formatCode>
                <c:ptCount val="10"/>
                <c:pt idx="0">
                  <c:v>1.2231E-3</c:v>
                </c:pt>
                <c:pt idx="1">
                  <c:v>4.3420999999999998E-3</c:v>
                </c:pt>
                <c:pt idx="2">
                  <c:v>1.148200000000001E-2</c:v>
                </c:pt>
                <c:pt idx="3">
                  <c:v>1.8703800000000017E-2</c:v>
                </c:pt>
                <c:pt idx="4">
                  <c:v>3.0986699999999989E-2</c:v>
                </c:pt>
                <c:pt idx="5">
                  <c:v>4.3231199999999956E-2</c:v>
                </c:pt>
                <c:pt idx="6">
                  <c:v>5.6408600000000003E-2</c:v>
                </c:pt>
                <c:pt idx="7">
                  <c:v>7.4671899999999999E-2</c:v>
                </c:pt>
                <c:pt idx="8">
                  <c:v>9.466130000000017E-2</c:v>
                </c:pt>
                <c:pt idx="9">
                  <c:v>0.12024950000000002</c:v>
                </c:pt>
              </c:numCache>
            </c:numRef>
          </c:yVal>
          <c:smooth val="1"/>
        </c:ser>
        <c:ser>
          <c:idx val="2"/>
          <c:order val="2"/>
          <c:tx>
            <c:v>Macierz sąsiedztwa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Arkusz1!$G$3:$G$12</c:f>
              <c:numCache>
                <c:formatCode>General</c:formatCode>
                <c:ptCount val="10"/>
                <c:pt idx="0">
                  <c:v>5.4743000000000057E-3</c:v>
                </c:pt>
                <c:pt idx="1">
                  <c:v>2.4809500000000002E-2</c:v>
                </c:pt>
                <c:pt idx="2">
                  <c:v>4.7557200000000022E-2</c:v>
                </c:pt>
                <c:pt idx="3">
                  <c:v>8.5615900000000064E-2</c:v>
                </c:pt>
                <c:pt idx="4">
                  <c:v>0.1300095</c:v>
                </c:pt>
                <c:pt idx="5">
                  <c:v>0.19055279999999997</c:v>
                </c:pt>
                <c:pt idx="6">
                  <c:v>0.26281530000000008</c:v>
                </c:pt>
                <c:pt idx="7">
                  <c:v>0.33535030000000055</c:v>
                </c:pt>
                <c:pt idx="8">
                  <c:v>0.43264040000000026</c:v>
                </c:pt>
                <c:pt idx="9">
                  <c:v>0.52869510000000053</c:v>
                </c:pt>
              </c:numCache>
            </c:numRef>
          </c:yVal>
          <c:smooth val="1"/>
        </c:ser>
        <c:axId val="107457536"/>
        <c:axId val="114459776"/>
      </c:scatterChart>
      <c:valAx>
        <c:axId val="10745753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 n [-]</a:t>
                </a:r>
              </a:p>
            </c:rich>
          </c:tx>
        </c:title>
        <c:numFmt formatCode="General" sourceLinked="1"/>
        <c:tickLblPos val="nextTo"/>
        <c:crossAx val="114459776"/>
        <c:crosses val="autoZero"/>
        <c:crossBetween val="midCat"/>
      </c:valAx>
      <c:valAx>
        <c:axId val="114459776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zliczania</a:t>
                </a:r>
                <a:r>
                  <a:rPr lang="pl-PL" baseline="0"/>
                  <a:t> [s]</a:t>
                </a:r>
                <a:endParaRPr lang="pl-PL"/>
              </a:p>
            </c:rich>
          </c:tx>
        </c:title>
        <c:numFmt formatCode="General" sourceLinked="1"/>
        <c:tickLblPos val="nextTo"/>
        <c:crossAx val="1074575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Czas zliczania łuków powrotnych dla gęstości </a:t>
            </a:r>
          </a:p>
          <a:p>
            <a:pPr>
              <a:defRPr/>
            </a:pPr>
            <a:r>
              <a:rPr lang="pl-PL"/>
              <a:t>d = 0,4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v>Lista następników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Arkusz1!$E$16:$E$25</c:f>
              <c:numCache>
                <c:formatCode>General</c:formatCode>
                <c:ptCount val="10"/>
                <c:pt idx="0">
                  <c:v>1.6608000000000011E-3</c:v>
                </c:pt>
                <c:pt idx="1">
                  <c:v>6.4328000000000076E-3</c:v>
                </c:pt>
                <c:pt idx="2">
                  <c:v>1.59522E-2</c:v>
                </c:pt>
                <c:pt idx="3">
                  <c:v>2.6666300000000011E-2</c:v>
                </c:pt>
                <c:pt idx="4">
                  <c:v>4.26746E-2</c:v>
                </c:pt>
                <c:pt idx="5">
                  <c:v>6.1873500000000012E-2</c:v>
                </c:pt>
                <c:pt idx="6">
                  <c:v>8.1836400000000045E-2</c:v>
                </c:pt>
                <c:pt idx="7">
                  <c:v>0.10846400000000009</c:v>
                </c:pt>
                <c:pt idx="8">
                  <c:v>0.13492640000000014</c:v>
                </c:pt>
                <c:pt idx="9">
                  <c:v>0.16398799999999999</c:v>
                </c:pt>
              </c:numCache>
            </c:numRef>
          </c:yVal>
          <c:smooth val="1"/>
        </c:ser>
        <c:ser>
          <c:idx val="1"/>
          <c:order val="1"/>
          <c:tx>
            <c:v>Lista łuków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Arkusz1!$F$16:$F$25</c:f>
              <c:numCache>
                <c:formatCode>General</c:formatCode>
                <c:ptCount val="10"/>
                <c:pt idx="0">
                  <c:v>2.5457000000000023E-3</c:v>
                </c:pt>
                <c:pt idx="1">
                  <c:v>8.8964000000000196E-3</c:v>
                </c:pt>
                <c:pt idx="2">
                  <c:v>2.09055E-2</c:v>
                </c:pt>
                <c:pt idx="3">
                  <c:v>3.5013900000000035E-2</c:v>
                </c:pt>
                <c:pt idx="4">
                  <c:v>6.1591800000000002E-2</c:v>
                </c:pt>
                <c:pt idx="5">
                  <c:v>8.5020200000000004E-2</c:v>
                </c:pt>
                <c:pt idx="6">
                  <c:v>0.12637249999999997</c:v>
                </c:pt>
                <c:pt idx="7">
                  <c:v>0.16602690000000001</c:v>
                </c:pt>
                <c:pt idx="8">
                  <c:v>0.18166389999999999</c:v>
                </c:pt>
                <c:pt idx="9">
                  <c:v>0.23260130000000001</c:v>
                </c:pt>
              </c:numCache>
            </c:numRef>
          </c:yVal>
          <c:smooth val="1"/>
        </c:ser>
        <c:ser>
          <c:idx val="2"/>
          <c:order val="2"/>
          <c:tx>
            <c:v>Macierz sąsiedztwa</c:v>
          </c:tx>
          <c:xVal>
            <c:numRef>
              <c:f>Arkusz1!$C$3:$C$12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Arkusz1!$G$16:$G$25</c:f>
              <c:numCache>
                <c:formatCode>General</c:formatCode>
                <c:ptCount val="10"/>
                <c:pt idx="0">
                  <c:v>8.7435000000000047E-3</c:v>
                </c:pt>
                <c:pt idx="1">
                  <c:v>3.5720300000000003E-2</c:v>
                </c:pt>
                <c:pt idx="2">
                  <c:v>8.0451300000000045E-2</c:v>
                </c:pt>
                <c:pt idx="3">
                  <c:v>0.1471797</c:v>
                </c:pt>
                <c:pt idx="4">
                  <c:v>0.2252527</c:v>
                </c:pt>
                <c:pt idx="5">
                  <c:v>0.33090310000000034</c:v>
                </c:pt>
                <c:pt idx="6">
                  <c:v>0.43738160000000043</c:v>
                </c:pt>
                <c:pt idx="7">
                  <c:v>0.60020660000000003</c:v>
                </c:pt>
                <c:pt idx="8">
                  <c:v>0.72818150000000004</c:v>
                </c:pt>
                <c:pt idx="9">
                  <c:v>0.89413029999999949</c:v>
                </c:pt>
              </c:numCache>
            </c:numRef>
          </c:yVal>
          <c:smooth val="1"/>
        </c:ser>
        <c:axId val="114559616"/>
        <c:axId val="114586368"/>
      </c:scatterChart>
      <c:valAx>
        <c:axId val="11455961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elementów [n]</a:t>
                </a:r>
              </a:p>
            </c:rich>
          </c:tx>
        </c:title>
        <c:numFmt formatCode="General" sourceLinked="1"/>
        <c:tickLblPos val="nextTo"/>
        <c:crossAx val="114586368"/>
        <c:crosses val="autoZero"/>
        <c:crossBetween val="midCat"/>
      </c:valAx>
      <c:valAx>
        <c:axId val="114586368"/>
        <c:scaling>
          <c:orientation val="minMax"/>
        </c:scaling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zliczania [s]</a:t>
                </a:r>
              </a:p>
            </c:rich>
          </c:tx>
        </c:title>
        <c:numFmt formatCode="General" sourceLinked="1"/>
        <c:tickLblPos val="nextTo"/>
        <c:crossAx val="1145596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1377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Użytkownik systemu Windows</cp:lastModifiedBy>
  <cp:revision>22</cp:revision>
  <cp:lastPrinted>2017-04-04T09:27:00Z</cp:lastPrinted>
  <dcterms:created xsi:type="dcterms:W3CDTF">2017-04-23T18:23:00Z</dcterms:created>
  <dcterms:modified xsi:type="dcterms:W3CDTF">2017-04-24T22:38:00Z</dcterms:modified>
</cp:coreProperties>
</file>