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BFD" w:rsidRPr="00434BFD" w:rsidRDefault="000F03F6" w:rsidP="00434BFD">
      <w:pPr>
        <w:pStyle w:val="Titel"/>
        <w:framePr w:wrap="notBeside"/>
      </w:pPr>
      <w:r>
        <w:t>CS1 Task 12: State Pattern</w:t>
      </w:r>
    </w:p>
    <w:p w:rsidR="00F46013" w:rsidRDefault="006907A7" w:rsidP="00492C62">
      <w:pPr>
        <w:pStyle w:val="berschrift1"/>
        <w:rPr>
          <w:lang w:val="en-GB"/>
        </w:rPr>
      </w:pPr>
      <w:r>
        <w:rPr>
          <w:lang w:val="en-GB"/>
        </w:rPr>
        <w:t>Konzept</w:t>
      </w:r>
    </w:p>
    <w:p w:rsidR="00566CCB" w:rsidRDefault="003C6270" w:rsidP="00566CCB">
      <w:bookmarkStart w:id="0" w:name="_GoBack"/>
      <w:bookmarkEnd w:id="0"/>
      <w:r>
        <w:t xml:space="preserve">Das State Pattern ermöglicht die elegante Modellierung von zustandsabhängigen Verhalten eines Objekts. </w:t>
      </w:r>
      <w:r w:rsidR="00DD332F">
        <w:t>D.h.</w:t>
      </w:r>
      <w:r w:rsidR="002049B1">
        <w:t>, dass</w:t>
      </w:r>
      <w:r w:rsidR="00DD332F">
        <w:t xml:space="preserve"> d</w:t>
      </w:r>
      <w:r w:rsidR="00657EF6">
        <w:t>as Objekt sein äusseres Verhalten zur Laufzeit in Abhängigkeit von</w:t>
      </w:r>
      <w:r w:rsidR="00530EFC">
        <w:t xml:space="preserve"> seinem internen Zustand ändern soll.</w:t>
      </w:r>
    </w:p>
    <w:p w:rsidR="00B67F78" w:rsidRDefault="00B67F78" w:rsidP="00566CCB"/>
    <w:p w:rsidR="00B67F78" w:rsidRDefault="00B67F78" w:rsidP="00566CCB">
      <w:r>
        <w:t xml:space="preserve">Ohne Pattern </w:t>
      </w:r>
      <w:r w:rsidR="00A37958">
        <w:t xml:space="preserve">würde die Überprüfung des Zustandes und die Ausgabe des unterschiedlichen Verhaltens </w:t>
      </w:r>
      <w:r w:rsidR="00DF05F2">
        <w:t xml:space="preserve">etwa </w:t>
      </w:r>
      <w:r w:rsidR="00A37958">
        <w:t>folgendermassen implementiert werden:</w:t>
      </w:r>
    </w:p>
    <w:p w:rsidR="00A37958" w:rsidRDefault="00A37958" w:rsidP="00566CCB"/>
    <w:p w:rsidR="002E5A19" w:rsidRDefault="00A119F9" w:rsidP="00566CCB">
      <w:r>
        <w:rPr>
          <w:noProof/>
          <w:lang w:eastAsia="de-CH"/>
        </w:rPr>
        <w:drawing>
          <wp:inline distT="0" distB="0" distL="0" distR="0">
            <wp:extent cx="2586038" cy="1971675"/>
            <wp:effectExtent l="19050" t="0" r="4762" b="0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038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66E" w:rsidRDefault="005A366E" w:rsidP="00566CCB"/>
    <w:p w:rsidR="003271C2" w:rsidRDefault="009B5D69" w:rsidP="003271C2">
      <w:r>
        <w:t xml:space="preserve">Beim State Pattern </w:t>
      </w:r>
      <w:r w:rsidR="003271C2">
        <w:t>werden die einzelnen Zustände in separate Klassen ausgelagert</w:t>
      </w:r>
      <w:r w:rsidR="00C35837">
        <w:t>.</w:t>
      </w:r>
      <w:r w:rsidR="008107B3">
        <w:t xml:space="preserve"> Die Klassen enthalten die Definition über das Verhalten des Objekts in einem bestimmten Zustand.</w:t>
      </w:r>
      <w:r w:rsidR="001766C2">
        <w:t xml:space="preserve"> </w:t>
      </w:r>
      <w:r w:rsidR="00F91490">
        <w:t xml:space="preserve">Werden die </w:t>
      </w:r>
      <w:r w:rsidR="001766C2">
        <w:t>Methoden "sayHello" und "sayGoodbye</w:t>
      </w:r>
      <w:r w:rsidR="00F91490">
        <w:t>"</w:t>
      </w:r>
      <w:r w:rsidR="001766C2">
        <w:t xml:space="preserve"> der </w:t>
      </w:r>
      <w:r w:rsidR="00F91490">
        <w:t>Person aufgerufen, liefern sie die entsprechenden Rückgabewerte, welche in den einzelnen Zustandsklassen definiert sind, zurück.</w:t>
      </w:r>
    </w:p>
    <w:p w:rsidR="00840070" w:rsidRDefault="00840070" w:rsidP="003271C2"/>
    <w:p w:rsidR="00840070" w:rsidRDefault="00A119F9" w:rsidP="00A119F9">
      <w:pPr>
        <w:jc w:val="center"/>
      </w:pPr>
      <w:r>
        <w:rPr>
          <w:noProof/>
          <w:lang w:eastAsia="de-CH"/>
        </w:rPr>
        <w:drawing>
          <wp:inline distT="0" distB="0" distL="0" distR="0">
            <wp:extent cx="3957638" cy="2100263"/>
            <wp:effectExtent l="19050" t="0" r="4762" b="0"/>
            <wp:docPr id="7" name="Bild 7" descr="\\sb000099\FS-User-AEK$\AEKMFA\_private\furtherEducation\BFH\modules\SoftwareEngineeringDesign\statePattern_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sb000099\FS-User-AEK$\AEKMFA\_private\furtherEducation\BFH\modules\SoftwareEngineeringDesign\statePattern_classdiagram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638" cy="2100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1C2" w:rsidRDefault="003271C2" w:rsidP="003271C2"/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6"/>
        <w:gridCol w:w="3968"/>
      </w:tblGrid>
      <w:tr w:rsidR="00B516C8" w:rsidTr="00B516C8">
        <w:tc>
          <w:tcPr>
            <w:tcW w:w="4889" w:type="dxa"/>
          </w:tcPr>
          <w:p w:rsidR="00B516C8" w:rsidRDefault="009B6C4A" w:rsidP="003271C2">
            <w:r>
              <w:rPr>
                <w:noProof/>
                <w:lang w:eastAsia="de-CH"/>
              </w:rPr>
              <w:drawing>
                <wp:inline distT="0" distB="0" distL="0" distR="0">
                  <wp:extent cx="3579019" cy="1935956"/>
                  <wp:effectExtent l="19050" t="0" r="2381" b="0"/>
                  <wp:docPr id="26" name="Bild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9019" cy="19359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:rsidR="00B516C8" w:rsidRDefault="00B516C8" w:rsidP="00076CD5">
            <w:pPr>
              <w:jc w:val="right"/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1935956" cy="457200"/>
                  <wp:effectExtent l="19050" t="0" r="7144" b="0"/>
                  <wp:docPr id="14" name="Bild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956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CD5" w:rsidTr="00B516C8">
        <w:tc>
          <w:tcPr>
            <w:tcW w:w="4889" w:type="dxa"/>
          </w:tcPr>
          <w:p w:rsidR="00076CD5" w:rsidRDefault="00076CD5" w:rsidP="003271C2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lastRenderedPageBreak/>
              <w:drawing>
                <wp:inline distT="0" distB="0" distL="0" distR="0">
                  <wp:extent cx="3243263" cy="1221581"/>
                  <wp:effectExtent l="19050" t="0" r="0" b="0"/>
                  <wp:docPr id="17" name="Bild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3263" cy="12215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6CD5" w:rsidRDefault="00076CD5" w:rsidP="003271C2">
            <w:pPr>
              <w:rPr>
                <w:noProof/>
                <w:lang w:eastAsia="de-CH"/>
              </w:rPr>
            </w:pPr>
          </w:p>
        </w:tc>
        <w:tc>
          <w:tcPr>
            <w:tcW w:w="4889" w:type="dxa"/>
          </w:tcPr>
          <w:p w:rsidR="00076CD5" w:rsidRDefault="00076CD5" w:rsidP="00076CD5">
            <w:pPr>
              <w:jc w:val="right"/>
              <w:rPr>
                <w:noProof/>
                <w:lang w:eastAsia="de-CH"/>
              </w:rPr>
            </w:pPr>
          </w:p>
        </w:tc>
      </w:tr>
      <w:tr w:rsidR="00076CD5" w:rsidTr="00B516C8">
        <w:tc>
          <w:tcPr>
            <w:tcW w:w="4889" w:type="dxa"/>
          </w:tcPr>
          <w:p w:rsidR="00076CD5" w:rsidRDefault="00076CD5" w:rsidP="003271C2">
            <w:pPr>
              <w:rPr>
                <w:noProof/>
                <w:lang w:eastAsia="de-CH"/>
              </w:rPr>
            </w:pPr>
            <w:r w:rsidRPr="00076CD5">
              <w:rPr>
                <w:noProof/>
                <w:lang w:eastAsia="de-CH"/>
              </w:rPr>
              <w:drawing>
                <wp:inline distT="0" distB="0" distL="0" distR="0">
                  <wp:extent cx="3050381" cy="1200150"/>
                  <wp:effectExtent l="19050" t="0" r="0" b="0"/>
                  <wp:docPr id="3" name="Bild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0381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6CD5" w:rsidRDefault="00076CD5" w:rsidP="003271C2">
            <w:pPr>
              <w:rPr>
                <w:noProof/>
                <w:lang w:eastAsia="de-CH"/>
              </w:rPr>
            </w:pPr>
          </w:p>
        </w:tc>
        <w:tc>
          <w:tcPr>
            <w:tcW w:w="4889" w:type="dxa"/>
          </w:tcPr>
          <w:p w:rsidR="00076CD5" w:rsidRDefault="00076CD5" w:rsidP="00076CD5">
            <w:pPr>
              <w:jc w:val="right"/>
              <w:rPr>
                <w:noProof/>
                <w:lang w:eastAsia="de-CH"/>
              </w:rPr>
            </w:pPr>
          </w:p>
        </w:tc>
      </w:tr>
      <w:tr w:rsidR="00076CD5" w:rsidTr="00B516C8">
        <w:tc>
          <w:tcPr>
            <w:tcW w:w="4889" w:type="dxa"/>
          </w:tcPr>
          <w:p w:rsidR="00076CD5" w:rsidRPr="00076CD5" w:rsidRDefault="00076CD5" w:rsidP="003271C2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2850356" cy="1207294"/>
                  <wp:effectExtent l="19050" t="0" r="7144" b="0"/>
                  <wp:docPr id="23" name="Bild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0356" cy="1207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:rsidR="00076CD5" w:rsidRDefault="00076CD5" w:rsidP="00076CD5">
            <w:pPr>
              <w:jc w:val="right"/>
              <w:rPr>
                <w:noProof/>
                <w:lang w:eastAsia="de-CH"/>
              </w:rPr>
            </w:pPr>
          </w:p>
        </w:tc>
      </w:tr>
    </w:tbl>
    <w:p w:rsidR="00DC1C11" w:rsidRDefault="00DC1C11" w:rsidP="003271C2"/>
    <w:p w:rsidR="00585109" w:rsidRPr="003C6270" w:rsidRDefault="006907A7" w:rsidP="003271C2">
      <w:pPr>
        <w:pStyle w:val="berschrift1"/>
      </w:pPr>
      <w:r w:rsidRPr="003C6270">
        <w:t>Vor-/Nachteile</w:t>
      </w:r>
    </w:p>
    <w:p w:rsidR="00D52EC8" w:rsidRDefault="00D52EC8" w:rsidP="00D52EC8">
      <w:pPr>
        <w:pStyle w:val="berschrift2"/>
      </w:pPr>
      <w:r>
        <w:t>Vorteile</w:t>
      </w:r>
    </w:p>
    <w:p w:rsidR="00FA459A" w:rsidRDefault="00FA459A" w:rsidP="00EA1797">
      <w:pPr>
        <w:pStyle w:val="Listenabsatz"/>
        <w:numPr>
          <w:ilvl w:val="0"/>
          <w:numId w:val="4"/>
        </w:numPr>
        <w:spacing w:after="60"/>
        <w:ind w:left="714" w:hanging="357"/>
        <w:contextualSpacing w:val="0"/>
      </w:pPr>
      <w:r>
        <w:t>Verständlichkeit:</w:t>
      </w:r>
      <w:r>
        <w:br/>
        <w:t>Die Auslagerung jedes einzelnen Zustandes in eine eigene Klasse  ist gut verständlich und übersichtlich.</w:t>
      </w:r>
    </w:p>
    <w:p w:rsidR="00C85C8F" w:rsidRDefault="00C7022F" w:rsidP="00EA1797">
      <w:pPr>
        <w:pStyle w:val="Listenabsatz"/>
        <w:numPr>
          <w:ilvl w:val="0"/>
          <w:numId w:val="4"/>
        </w:numPr>
        <w:spacing w:after="60"/>
        <w:ind w:left="714" w:hanging="357"/>
        <w:contextualSpacing w:val="0"/>
      </w:pPr>
      <w:r w:rsidRPr="00CF2E24">
        <w:t>Erweiterbarkeit</w:t>
      </w:r>
      <w:r w:rsidR="00CF2E24">
        <w:t>:</w:t>
      </w:r>
      <w:r w:rsidR="00FA459A">
        <w:br/>
      </w:r>
      <w:r w:rsidR="008F2A05">
        <w:t>neue Zustände und neues Verhalten können  auf einfache Art und Weise hinzugefügt werden.</w:t>
      </w:r>
    </w:p>
    <w:p w:rsidR="0010485D" w:rsidRDefault="00FA459A" w:rsidP="00EA1797">
      <w:pPr>
        <w:pStyle w:val="Listenabsatz"/>
        <w:numPr>
          <w:ilvl w:val="0"/>
          <w:numId w:val="4"/>
        </w:numPr>
        <w:spacing w:after="60"/>
        <w:ind w:left="714" w:hanging="357"/>
        <w:contextualSpacing w:val="0"/>
      </w:pPr>
      <w:r>
        <w:t>Trennung der Verantwortlichkeiten:</w:t>
      </w:r>
      <w:r>
        <w:br/>
        <w:t>zustandsspezifisches Verhalten ist in mehrere Zustandsklassen aufgeteilt und somit die Verantwortlichkeiten klar getrennt.</w:t>
      </w:r>
    </w:p>
    <w:p w:rsidR="002211BB" w:rsidRPr="00C85C8F" w:rsidRDefault="008F27D6" w:rsidP="00EA1797">
      <w:pPr>
        <w:pStyle w:val="Listenabsatz"/>
        <w:numPr>
          <w:ilvl w:val="0"/>
          <w:numId w:val="4"/>
        </w:numPr>
        <w:spacing w:after="60"/>
        <w:ind w:left="714" w:hanging="357"/>
        <w:contextualSpacing w:val="0"/>
      </w:pPr>
      <w:r>
        <w:t>Wiederverwendbarkeit:</w:t>
      </w:r>
      <w:r>
        <w:br/>
        <w:t>Zustände können auch von anderen Objekten verwendet werden.</w:t>
      </w:r>
    </w:p>
    <w:p w:rsidR="00D52EC8" w:rsidRDefault="00D52EC8" w:rsidP="00D52EC8">
      <w:pPr>
        <w:pStyle w:val="berschrift2"/>
      </w:pPr>
      <w:r>
        <w:t>Nachteile</w:t>
      </w:r>
    </w:p>
    <w:p w:rsidR="00F0354A" w:rsidRDefault="00150F85" w:rsidP="00150F85">
      <w:pPr>
        <w:pStyle w:val="Listenabsatz"/>
        <w:numPr>
          <w:ilvl w:val="0"/>
          <w:numId w:val="4"/>
        </w:numPr>
        <w:spacing w:after="60"/>
        <w:ind w:left="714" w:hanging="357"/>
        <w:contextualSpacing w:val="0"/>
      </w:pPr>
      <w:r>
        <w:t>Erhöhte Klassenanzahl</w:t>
      </w:r>
    </w:p>
    <w:p w:rsidR="00D20245" w:rsidRPr="00C85C8F" w:rsidRDefault="00150F85" w:rsidP="00150F85">
      <w:pPr>
        <w:pStyle w:val="Listenabsatz"/>
        <w:numPr>
          <w:ilvl w:val="0"/>
          <w:numId w:val="4"/>
        </w:numPr>
        <w:spacing w:after="60"/>
        <w:ind w:left="714" w:hanging="357"/>
        <w:contextualSpacing w:val="0"/>
      </w:pPr>
      <w:r>
        <w:t>Erhöhter Implementationsaufwand</w:t>
      </w:r>
    </w:p>
    <w:p w:rsidR="009703F7" w:rsidRDefault="003C6270" w:rsidP="009703F7">
      <w:pPr>
        <w:pStyle w:val="berschrift1"/>
      </w:pPr>
      <w:r>
        <w:t>Anwendungsfälle</w:t>
      </w:r>
    </w:p>
    <w:p w:rsidR="003C6270" w:rsidRDefault="00B652B5" w:rsidP="003C6270">
      <w:r>
        <w:t>Das State Pattern findet in folgenden Fällen Anwendung:</w:t>
      </w:r>
    </w:p>
    <w:p w:rsidR="005F0EF0" w:rsidRDefault="005F0EF0" w:rsidP="003C6270"/>
    <w:p w:rsidR="00B652B5" w:rsidRDefault="00DD73F2" w:rsidP="009968FE">
      <w:pPr>
        <w:pStyle w:val="Listenabsatz"/>
        <w:numPr>
          <w:ilvl w:val="0"/>
          <w:numId w:val="4"/>
        </w:numPr>
        <w:spacing w:after="60"/>
        <w:ind w:left="714" w:hanging="357"/>
        <w:contextualSpacing w:val="0"/>
      </w:pPr>
      <w:r>
        <w:t>Ein Objekt soll sein äusseres Verhalten zur Laufzeit aufgrund</w:t>
      </w:r>
      <w:r w:rsidR="00B9759B">
        <w:t xml:space="preserve"> seines inneren Zustands ändern können.</w:t>
      </w:r>
    </w:p>
    <w:p w:rsidR="00B9759B" w:rsidRDefault="009968FE" w:rsidP="009968FE">
      <w:pPr>
        <w:pStyle w:val="Listenabsatz"/>
        <w:numPr>
          <w:ilvl w:val="0"/>
          <w:numId w:val="4"/>
        </w:numPr>
        <w:spacing w:after="60"/>
        <w:ind w:left="714" w:hanging="357"/>
        <w:contextualSpacing w:val="0"/>
      </w:pPr>
      <w:r>
        <w:t>Ein Objekt besitzt eine Reihe von Methoden ähnlicher Struktur, die sich aus immer gleichen Anweisungen zusammensetzen.</w:t>
      </w:r>
    </w:p>
    <w:p w:rsidR="00715FC5" w:rsidRDefault="00715FC5" w:rsidP="009968FE">
      <w:pPr>
        <w:pStyle w:val="Listenabsatz"/>
        <w:numPr>
          <w:ilvl w:val="0"/>
          <w:numId w:val="4"/>
        </w:numPr>
        <w:spacing w:after="60"/>
        <w:ind w:left="714" w:hanging="357"/>
        <w:contextualSpacing w:val="0"/>
      </w:pPr>
      <w:r>
        <w:t>Beispiele:</w:t>
      </w:r>
    </w:p>
    <w:p w:rsidR="00DD73F2" w:rsidRDefault="009968FE" w:rsidP="00715FC5">
      <w:pPr>
        <w:pStyle w:val="Listenabsatz"/>
        <w:numPr>
          <w:ilvl w:val="1"/>
          <w:numId w:val="4"/>
        </w:numPr>
        <w:spacing w:after="60"/>
        <w:contextualSpacing w:val="0"/>
      </w:pPr>
      <w:r>
        <w:t>Werkzeuge in Zeichnungstools</w:t>
      </w:r>
      <w:r w:rsidR="00715FC5">
        <w:t xml:space="preserve"> (Zustand der Zeichenfläche/Editors)</w:t>
      </w:r>
    </w:p>
    <w:p w:rsidR="00715FC5" w:rsidRDefault="005F510F" w:rsidP="00715FC5">
      <w:pPr>
        <w:pStyle w:val="Listenabsatz"/>
        <w:numPr>
          <w:ilvl w:val="1"/>
          <w:numId w:val="4"/>
        </w:numPr>
        <w:spacing w:after="60"/>
        <w:contextualSpacing w:val="0"/>
      </w:pPr>
      <w:r>
        <w:t>Stoppuhr</w:t>
      </w:r>
    </w:p>
    <w:p w:rsidR="005F510F" w:rsidRPr="003C6270" w:rsidRDefault="005F510F" w:rsidP="00715FC5">
      <w:pPr>
        <w:pStyle w:val="Listenabsatz"/>
        <w:numPr>
          <w:ilvl w:val="1"/>
          <w:numId w:val="4"/>
        </w:numPr>
        <w:spacing w:after="60"/>
        <w:contextualSpacing w:val="0"/>
      </w:pPr>
      <w:r>
        <w:t>usw.</w:t>
      </w:r>
    </w:p>
    <w:sectPr w:rsidR="005F510F" w:rsidRPr="003C6270" w:rsidSect="00585109">
      <w:headerReference w:type="default" r:id="rId15"/>
      <w:footerReference w:type="default" r:id="rId16"/>
      <w:pgSz w:w="11906" w:h="16838" w:code="9"/>
      <w:pgMar w:top="1418" w:right="1134" w:bottom="1134" w:left="1134" w:header="680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0EF0" w:rsidRDefault="005F0EF0" w:rsidP="00D30770">
      <w:r>
        <w:separator/>
      </w:r>
    </w:p>
  </w:endnote>
  <w:endnote w:type="continuationSeparator" w:id="0">
    <w:p w:rsidR="005F0EF0" w:rsidRDefault="005F0EF0" w:rsidP="00D307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EF0" w:rsidRPr="00C40567" w:rsidRDefault="005F0EF0" w:rsidP="0016482A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Project MHC-PMS</w:t>
    </w:r>
    <w:r w:rsidRPr="00C40567">
      <w:rPr>
        <w:sz w:val="16"/>
        <w:lang w:val="en-GB"/>
      </w:rPr>
      <w:tab/>
    </w:r>
    <w:r>
      <w:rPr>
        <w:sz w:val="16"/>
        <w:lang w:val="en-GB"/>
      </w:rPr>
      <w:fldChar w:fldCharType="begin"/>
    </w:r>
    <w:r>
      <w:rPr>
        <w:sz w:val="16"/>
        <w:lang w:val="en-GB"/>
      </w:rPr>
      <w:instrText xml:space="preserve"> SAVEDATE  \@ "dd/MM/yyyy HH:mm"  \* MERGEFORMAT </w:instrText>
    </w:r>
    <w:r>
      <w:rPr>
        <w:sz w:val="16"/>
        <w:lang w:val="en-GB"/>
      </w:rPr>
      <w:fldChar w:fldCharType="separate"/>
    </w:r>
    <w:r w:rsidR="00150F85">
      <w:rPr>
        <w:noProof/>
        <w:sz w:val="16"/>
        <w:lang w:val="en-GB"/>
      </w:rPr>
      <w:t>07/05/2013 15:59</w:t>
    </w:r>
    <w:r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>
      <w:rPr>
        <w:sz w:val="16"/>
        <w:lang w:val="en-GB"/>
      </w:rPr>
      <w:t>p</w:t>
    </w:r>
    <w:r w:rsidRPr="00C40567">
      <w:rPr>
        <w:sz w:val="16"/>
        <w:lang w:val="en-GB"/>
      </w:rPr>
      <w:t xml:space="preserve">age </w:t>
    </w:r>
    <w:r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>
      <w:rPr>
        <w:sz w:val="16"/>
      </w:rPr>
      <w:fldChar w:fldCharType="separate"/>
    </w:r>
    <w:r w:rsidR="005F510F">
      <w:rPr>
        <w:noProof/>
        <w:sz w:val="16"/>
        <w:lang w:val="en-GB"/>
      </w:rPr>
      <w:t>2</w:t>
    </w:r>
    <w:r>
      <w:rPr>
        <w:sz w:val="16"/>
      </w:rPr>
      <w:fldChar w:fldCharType="end"/>
    </w:r>
    <w:r w:rsidRPr="00C40567">
      <w:rPr>
        <w:sz w:val="16"/>
        <w:lang w:val="en-GB"/>
      </w:rPr>
      <w:t>/</w:t>
    </w:r>
    <w:fldSimple w:instr=" NUMPAGES   \* MERGEFORMAT ">
      <w:r w:rsidR="005F510F" w:rsidRPr="005F510F">
        <w:rPr>
          <w:noProof/>
          <w:sz w:val="16"/>
          <w:lang w:val="en-GB"/>
        </w:rPr>
        <w:t>2</w:t>
      </w:r>
    </w:fldSimple>
  </w:p>
  <w:p w:rsidR="005F0EF0" w:rsidRPr="00C40567" w:rsidRDefault="005F0EF0" w:rsidP="00D30770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0EF0" w:rsidRDefault="005F0EF0" w:rsidP="00D30770">
      <w:r>
        <w:separator/>
      </w:r>
    </w:p>
  </w:footnote>
  <w:footnote w:type="continuationSeparator" w:id="0">
    <w:p w:rsidR="005F0EF0" w:rsidRDefault="005F0EF0" w:rsidP="00D307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EF0" w:rsidRPr="004D2287" w:rsidRDefault="005F0EF0" w:rsidP="003D7127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eastAsia="de-CH"/>
      </w:rPr>
      <w:drawing>
        <wp:inline distT="0" distB="0" distL="0" distR="0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4D2287">
      <w:rPr>
        <w:sz w:val="16"/>
      </w:rPr>
      <w:tab/>
    </w:r>
    <w:r w:rsidRPr="004D2287">
      <w:rPr>
        <w:sz w:val="16"/>
      </w:rPr>
      <w:tab/>
    </w:r>
    <w:r>
      <w:rPr>
        <w:sz w:val="16"/>
      </w:rPr>
      <w:t>[Software Engineering and Design]</w:t>
    </w:r>
  </w:p>
  <w:p w:rsidR="005F0EF0" w:rsidRDefault="005F0EF0" w:rsidP="00C40567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B28B9"/>
    <w:multiLevelType w:val="hybridMultilevel"/>
    <w:tmpl w:val="19729A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75191"/>
    <w:multiLevelType w:val="hybridMultilevel"/>
    <w:tmpl w:val="3C563096"/>
    <w:lvl w:ilvl="0" w:tplc="ECB21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3DC659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335C57"/>
    <w:multiLevelType w:val="hybridMultilevel"/>
    <w:tmpl w:val="4552ED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DC3D3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0F03F6"/>
    <w:rsid w:val="000210FF"/>
    <w:rsid w:val="00076CD5"/>
    <w:rsid w:val="000A0042"/>
    <w:rsid w:val="000E0848"/>
    <w:rsid w:val="000F03F6"/>
    <w:rsid w:val="000F78D2"/>
    <w:rsid w:val="0010485D"/>
    <w:rsid w:val="00113A75"/>
    <w:rsid w:val="00113C9B"/>
    <w:rsid w:val="001174E2"/>
    <w:rsid w:val="00150F85"/>
    <w:rsid w:val="00157FDB"/>
    <w:rsid w:val="0016482A"/>
    <w:rsid w:val="001766C2"/>
    <w:rsid w:val="001A61C7"/>
    <w:rsid w:val="001B7B6D"/>
    <w:rsid w:val="001D266E"/>
    <w:rsid w:val="001D4045"/>
    <w:rsid w:val="002049B1"/>
    <w:rsid w:val="002153C6"/>
    <w:rsid w:val="0021611C"/>
    <w:rsid w:val="002211BB"/>
    <w:rsid w:val="0022626D"/>
    <w:rsid w:val="00273266"/>
    <w:rsid w:val="0027606B"/>
    <w:rsid w:val="002E5A19"/>
    <w:rsid w:val="002E6B0F"/>
    <w:rsid w:val="002E7583"/>
    <w:rsid w:val="00306844"/>
    <w:rsid w:val="003271C2"/>
    <w:rsid w:val="003C6270"/>
    <w:rsid w:val="003D3DAF"/>
    <w:rsid w:val="003D7127"/>
    <w:rsid w:val="003F6E46"/>
    <w:rsid w:val="00434BFD"/>
    <w:rsid w:val="00456B68"/>
    <w:rsid w:val="004910A2"/>
    <w:rsid w:val="00492C62"/>
    <w:rsid w:val="004A3DE1"/>
    <w:rsid w:val="004B2CF1"/>
    <w:rsid w:val="004D6211"/>
    <w:rsid w:val="004F6537"/>
    <w:rsid w:val="00530EFC"/>
    <w:rsid w:val="00537354"/>
    <w:rsid w:val="005376FD"/>
    <w:rsid w:val="00543BC8"/>
    <w:rsid w:val="00551CA2"/>
    <w:rsid w:val="00566CCB"/>
    <w:rsid w:val="00574620"/>
    <w:rsid w:val="00585109"/>
    <w:rsid w:val="005A15A1"/>
    <w:rsid w:val="005A366E"/>
    <w:rsid w:val="005B02CF"/>
    <w:rsid w:val="005E30BD"/>
    <w:rsid w:val="005F0EF0"/>
    <w:rsid w:val="005F510F"/>
    <w:rsid w:val="006079D3"/>
    <w:rsid w:val="00614DB8"/>
    <w:rsid w:val="00617630"/>
    <w:rsid w:val="00630109"/>
    <w:rsid w:val="00636E74"/>
    <w:rsid w:val="00657EF6"/>
    <w:rsid w:val="006907A7"/>
    <w:rsid w:val="006C3C1A"/>
    <w:rsid w:val="006D4622"/>
    <w:rsid w:val="006D63D8"/>
    <w:rsid w:val="006F7CBD"/>
    <w:rsid w:val="00700E4A"/>
    <w:rsid w:val="00713E16"/>
    <w:rsid w:val="00715FC5"/>
    <w:rsid w:val="007371ED"/>
    <w:rsid w:val="0076079B"/>
    <w:rsid w:val="007B0218"/>
    <w:rsid w:val="007B0FF8"/>
    <w:rsid w:val="008107B3"/>
    <w:rsid w:val="00827854"/>
    <w:rsid w:val="00831931"/>
    <w:rsid w:val="00840070"/>
    <w:rsid w:val="008501A9"/>
    <w:rsid w:val="008553A6"/>
    <w:rsid w:val="00873E61"/>
    <w:rsid w:val="00883B85"/>
    <w:rsid w:val="00894F89"/>
    <w:rsid w:val="008F27D6"/>
    <w:rsid w:val="008F2A05"/>
    <w:rsid w:val="00926F11"/>
    <w:rsid w:val="0095709F"/>
    <w:rsid w:val="009703F7"/>
    <w:rsid w:val="009732FB"/>
    <w:rsid w:val="00980030"/>
    <w:rsid w:val="009968FE"/>
    <w:rsid w:val="009A4F5E"/>
    <w:rsid w:val="009B5D69"/>
    <w:rsid w:val="009B6C4A"/>
    <w:rsid w:val="009C22E6"/>
    <w:rsid w:val="009C7001"/>
    <w:rsid w:val="009F5BB2"/>
    <w:rsid w:val="00A119F9"/>
    <w:rsid w:val="00A251D7"/>
    <w:rsid w:val="00A37958"/>
    <w:rsid w:val="00A4180E"/>
    <w:rsid w:val="00A848DD"/>
    <w:rsid w:val="00AB22C9"/>
    <w:rsid w:val="00AE302B"/>
    <w:rsid w:val="00B2723E"/>
    <w:rsid w:val="00B46D3E"/>
    <w:rsid w:val="00B516C8"/>
    <w:rsid w:val="00B63F9F"/>
    <w:rsid w:val="00B652B5"/>
    <w:rsid w:val="00B67F78"/>
    <w:rsid w:val="00B834DD"/>
    <w:rsid w:val="00B9759B"/>
    <w:rsid w:val="00BD6B35"/>
    <w:rsid w:val="00BF6ABE"/>
    <w:rsid w:val="00BF6CF4"/>
    <w:rsid w:val="00C24AA2"/>
    <w:rsid w:val="00C335A9"/>
    <w:rsid w:val="00C35837"/>
    <w:rsid w:val="00C3776B"/>
    <w:rsid w:val="00C40567"/>
    <w:rsid w:val="00C7022F"/>
    <w:rsid w:val="00C85C8F"/>
    <w:rsid w:val="00CD0EF4"/>
    <w:rsid w:val="00CF2E24"/>
    <w:rsid w:val="00D164B0"/>
    <w:rsid w:val="00D20245"/>
    <w:rsid w:val="00D30770"/>
    <w:rsid w:val="00D43715"/>
    <w:rsid w:val="00D52EC8"/>
    <w:rsid w:val="00DA4812"/>
    <w:rsid w:val="00DC1C11"/>
    <w:rsid w:val="00DD332F"/>
    <w:rsid w:val="00DD73F2"/>
    <w:rsid w:val="00DD7401"/>
    <w:rsid w:val="00DF05F2"/>
    <w:rsid w:val="00E004B1"/>
    <w:rsid w:val="00E4010F"/>
    <w:rsid w:val="00E50180"/>
    <w:rsid w:val="00E61755"/>
    <w:rsid w:val="00EA1797"/>
    <w:rsid w:val="00EB7BD4"/>
    <w:rsid w:val="00EE7F8C"/>
    <w:rsid w:val="00F0354A"/>
    <w:rsid w:val="00F35865"/>
    <w:rsid w:val="00F46013"/>
    <w:rsid w:val="00F6487C"/>
    <w:rsid w:val="00F85105"/>
    <w:rsid w:val="00F91490"/>
    <w:rsid w:val="00FA257D"/>
    <w:rsid w:val="00FA459A"/>
    <w:rsid w:val="00FA641A"/>
    <w:rsid w:val="00FB7267"/>
    <w:rsid w:val="00FC336F"/>
    <w:rsid w:val="00FE1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ch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aliases w:val="Ü3 Zchn"/>
    <w:basedOn w:val="Absatz-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ch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  <w:style w:type="table" w:styleId="Tabellengitternetz">
    <w:name w:val="Table Grid"/>
    <w:basedOn w:val="NormaleTabelle"/>
    <w:rsid w:val="00B516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eiche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eiche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aliases w:val="Ü3 Zeichen"/>
    <w:basedOn w:val="Absatz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eiche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eiche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eiche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eiche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eichen">
    <w:name w:val="Titel Zeichen"/>
    <w:basedOn w:val="Absatz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C0F86A-1E44-43CE-9140-A918EC5E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ESPRIT Netzwerk AG</Company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Fanky</dc:creator>
  <cp:lastModifiedBy>Fankhauser Michael</cp:lastModifiedBy>
  <cp:revision>92</cp:revision>
  <dcterms:created xsi:type="dcterms:W3CDTF">2013-05-06T20:50:00Z</dcterms:created>
  <dcterms:modified xsi:type="dcterms:W3CDTF">2013-05-07T14:10:00Z</dcterms:modified>
</cp:coreProperties>
</file>