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三层记忆、热度晋升与长期化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rPr>
          <w:rFonts w:ascii="Times New Roman" w:hAnsi="Times New Roman" w:cs="Times New Roman"/>
        </w:rP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rPr>
          <w:rFonts w:ascii="Times New Roman" w:hAnsi="Times New Roman" w:cs="Times New Roman"/>
        </w:rP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rPr>
          <w:rFonts w:ascii="Times New Roman" w:hAnsi="Times New Roman" w:cs="Times New Roman"/>
        </w:rP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rPr>
          <w:rFonts w:ascii="Times New Roman" w:hAnsi="Times New Roman" w:cs="Times New Roman"/>
        </w:rP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3"/>
        <w:gridCol w:w="2193"/>
        <w:gridCol w:w="6380"/>
      </w:tblGrid>
      <w:tr>
        <w:trPr>
          <w:cantSplit/>
          <w:tblHeader/>
        </w:trPr>
        <w:tc>
          <w:tcPr>
            <w:tcW w:w="1293" w:type="dxa"/>
            <w:shd w:val="clear" w:color="auto" w:fill="DCE6F1"/>
            <w:vAlign w:val="center"/>
          </w:tcPr>
          <w:p>
            <w:pPr>
              <w:pStyle w:val="TableHead"/>
              <w:jc w:val="center"/>
            </w:pPr>
            <w:r>
              <w:t xml:space="preserve">模块</w:t>
            </w:r>
          </w:p>
        </w:tc>
        <w:tc>
          <w:tcPr>
            <w:tcW w:w="2193" w:type="dxa"/>
            <w:shd w:val="clear" w:color="auto" w:fill="DCE6F1"/>
            <w:vAlign w:val="center"/>
          </w:tcPr>
          <w:p>
            <w:pPr>
              <w:pStyle w:val="TableHead"/>
              <w:jc w:val="center"/>
            </w:pPr>
            <w:r>
              <w:t xml:space="preserve">代码目录</w:t>
            </w:r>
          </w:p>
        </w:tc>
        <w:tc>
          <w:tcPr>
            <w:tcW w:w="6380" w:type="dxa"/>
            <w:shd w:val="clear" w:color="auto" w:fill="DCE6F1"/>
            <w:vAlign w:val="center"/>
          </w:tcPr>
          <w:p>
            <w:pPr>
              <w:pStyle w:val="TableHead"/>
              <w:jc w:val="center"/>
            </w:pPr>
            <w:r>
              <w:t xml:space="preserve">核心职责</w:t>
            </w:r>
          </w:p>
        </w:tc>
      </w:tr>
      <w:tr>
        <w:trPr>
          <w:cantSplit/>
        </w:trPr>
        <w:tc>
          <w:tcPr>
            <w:tcW w:w="1293" w:type="dxa"/>
            <w:vAlign w:val="center"/>
          </w:tcPr>
          <w:p>
            <w:pPr>
              <w:pStyle w:val="TableText"/>
              <w:jc w:val="center"/>
            </w:pPr>
            <w:r>
              <w:t xml:space="preserve">编排核心</w:t>
            </w:r>
          </w:p>
        </w:tc>
        <w:tc>
          <w:tcPr>
            <w:tcW w:w="2193" w:type="dxa"/>
            <w:vAlign w:val="center"/>
          </w:tcPr>
          <w:p>
            <w:pPr>
              <w:pStyle w:val="TableText"/>
              <w:jc w:val="left"/>
            </w:pPr>
            <w:r>
              <w:t xml:space="preserve">src/core/</w:t>
            </w:r>
          </w:p>
        </w:tc>
        <w:tc>
          <w:tcPr>
            <w:tcW w:w="6380" w:type="dxa"/>
            <w:vAlign w:val="center"/>
          </w:tcPr>
          <w:p>
            <w:pPr>
              <w:pStyle w:val="TableText"/>
              <w:jc w:val="left"/>
            </w:pPr>
            <w:r>
              <w:t xml:space="preserve">流程编排、记忆分类、短/中/长期流转、冲突消解、偏好入库适配</w:t>
            </w:r>
          </w:p>
        </w:tc>
      </w:tr>
      <w:tr>
        <w:trPr>
          <w:cantSplit/>
        </w:trPr>
        <w:tc>
          <w:tcPr>
            <w:tcW w:w="1293" w:type="dxa"/>
            <w:vAlign w:val="center"/>
          </w:tcPr>
          <w:p>
            <w:pPr>
              <w:pStyle w:val="TableText"/>
              <w:jc w:val="center"/>
            </w:pPr>
            <w:r>
              <w:t xml:space="preserve">多源摄取</w:t>
            </w:r>
          </w:p>
        </w:tc>
        <w:tc>
          <w:tcPr>
            <w:tcW w:w="2193" w:type="dxa"/>
            <w:vAlign w:val="center"/>
          </w:tcPr>
          <w:p>
            <w:pPr>
              <w:pStyle w:val="TableText"/>
              <w:jc w:val="left"/>
            </w:pPr>
            <w:r>
              <w:t xml:space="preserve">src/ingestion/</w:t>
            </w:r>
          </w:p>
        </w:tc>
        <w:tc>
          <w:tcPr>
            <w:tcW w:w="6380" w:type="dxa"/>
            <w:vAlign w:val="center"/>
          </w:tcPr>
          <w:p>
            <w:pPr>
              <w:pStyle w:val="TableText"/>
              <w:jc w:val="left"/>
            </w:pPr>
            <w:r>
              <w:t xml:space="preserve">五段式管线：采集、清洗、标准化、质量校验、去重，并写入 staging 中转</w:t>
            </w:r>
          </w:p>
        </w:tc>
      </w:tr>
      <w:tr>
        <w:trPr>
          <w:cantSplit/>
        </w:trPr>
        <w:tc>
          <w:tcPr>
            <w:tcW w:w="1293" w:type="dxa"/>
            <w:vAlign w:val="center"/>
          </w:tcPr>
          <w:p>
            <w:pPr>
              <w:pStyle w:val="TableText"/>
              <w:jc w:val="center"/>
            </w:pPr>
            <w:r>
              <w:t xml:space="preserve">偏好记忆</w:t>
            </w:r>
          </w:p>
        </w:tc>
        <w:tc>
          <w:tcPr>
            <w:tcW w:w="2193" w:type="dxa"/>
            <w:vAlign w:val="center"/>
          </w:tcPr>
          <w:p>
            <w:pPr>
              <w:pStyle w:val="TableText"/>
              <w:jc w:val="left"/>
            </w:pPr>
            <w:r>
              <w:t xml:space="preserve">src/preference/</w:t>
            </w:r>
          </w:p>
        </w:tc>
        <w:tc>
          <w:tcPr>
            <w:tcW w:w="6380" w:type="dxa"/>
            <w:vAlign w:val="center"/>
          </w:tcPr>
          <w:p>
            <w:pPr>
              <w:pStyle w:val="TableText"/>
              <w:jc w:val="left"/>
            </w:pPr>
            <w:r>
              <w:t xml:space="preserve">键空间注册、规则与模型融合抽取、置信度、版本索引、画像生成</w:t>
            </w:r>
          </w:p>
        </w:tc>
      </w:tr>
      <w:tr>
        <w:trPr>
          <w:cantSplit/>
        </w:trPr>
        <w:tc>
          <w:tcPr>
            <w:tcW w:w="1293" w:type="dxa"/>
            <w:vAlign w:val="center"/>
          </w:tcPr>
          <w:p>
            <w:pPr>
              <w:pStyle w:val="TableText"/>
              <w:jc w:val="center"/>
            </w:pPr>
            <w:r>
              <w:t xml:space="preserve">知识记忆</w:t>
            </w:r>
          </w:p>
        </w:tc>
        <w:tc>
          <w:tcPr>
            <w:tcW w:w="2193" w:type="dxa"/>
            <w:vAlign w:val="center"/>
          </w:tcPr>
          <w:p>
            <w:pPr>
              <w:pStyle w:val="TableText"/>
              <w:jc w:val="left"/>
            </w:pPr>
            <w:r>
              <w:t xml:space="preserve">src/knowledge/</w:t>
            </w:r>
          </w:p>
        </w:tc>
        <w:tc>
          <w:tcPr>
            <w:tcW w:w="6380" w:type="dxa"/>
            <w:vAlign w:val="center"/>
          </w:tcPr>
          <w:p>
            <w:pPr>
              <w:pStyle w:val="TableText"/>
              <w:jc w:val="left"/>
            </w:pPr>
            <w:r>
              <w:t xml:space="preserve">记忆库增删改查、字段映射、向量检索、策略评分</w:t>
            </w:r>
          </w:p>
        </w:tc>
      </w:tr>
      <w:tr>
        <w:trPr>
          <w:cantSplit/>
        </w:trPr>
        <w:tc>
          <w:tcPr>
            <w:tcW w:w="1293" w:type="dxa"/>
            <w:vAlign w:val="center"/>
          </w:tcPr>
          <w:p>
            <w:pPr>
              <w:pStyle w:val="TableText"/>
              <w:jc w:val="center"/>
            </w:pPr>
            <w:r>
              <w:t xml:space="preserve">安全与遗忘</w:t>
            </w:r>
          </w:p>
        </w:tc>
        <w:tc>
          <w:tcPr>
            <w:tcW w:w="2193" w:type="dxa"/>
            <w:vAlign w:val="center"/>
          </w:tcPr>
          <w:p>
            <w:pPr>
              <w:pStyle w:val="TableText"/>
              <w:jc w:val="left"/>
            </w:pPr>
            <w:r>
              <w:t xml:space="preserve">src/security/</w:t>
            </w:r>
          </w:p>
        </w:tc>
        <w:tc>
          <w:tcPr>
            <w:tcW w:w="6380" w:type="dxa"/>
            <w:vAlign w:val="center"/>
          </w:tcPr>
          <w:p>
            <w:pPr>
              <w:pStyle w:val="TableText"/>
              <w:jc w:val="left"/>
            </w:pPr>
            <w:r>
              <w:t xml:space="preserve">敏感识别与脱敏、索引加密、自然语言遗忘解析、上下文维护</w:t>
            </w:r>
          </w:p>
        </w:tc>
      </w:tr>
      <w:tr>
        <w:trPr>
          <w:cantSplit/>
        </w:trPr>
        <w:tc>
          <w:tcPr>
            <w:tcW w:w="1293" w:type="dxa"/>
            <w:vAlign w:val="center"/>
          </w:tcPr>
          <w:p>
            <w:pPr>
              <w:pStyle w:val="TableText"/>
              <w:jc w:val="center"/>
            </w:pPr>
            <w:r>
              <w:t xml:space="preserve">向量化</w:t>
            </w:r>
          </w:p>
        </w:tc>
        <w:tc>
          <w:tcPr>
            <w:tcW w:w="2193" w:type="dxa"/>
            <w:vAlign w:val="center"/>
          </w:tcPr>
          <w:p>
            <w:pPr>
              <w:pStyle w:val="TableText"/>
              <w:jc w:val="left"/>
            </w:pPr>
            <w:r>
              <w:t xml:space="preserve">src/embedding/</w:t>
            </w:r>
          </w:p>
        </w:tc>
        <w:tc>
          <w:tcPr>
            <w:tcW w:w="6380" w:type="dxa"/>
            <w:vAlign w:val="center"/>
          </w:tcPr>
          <w:p>
            <w:pPr>
              <w:pStyle w:val="TableText"/>
              <w:jc w:val="left"/>
            </w:pPr>
            <w:r>
              <w:t xml:space="preserve">Embedding 统一接口、麒麟 SDK 适配、本地模型与降级后端</w:t>
            </w:r>
          </w:p>
        </w:tc>
      </w:tr>
      <w:tr>
        <w:trPr>
          <w:cantSplit/>
        </w:trPr>
        <w:tc>
          <w:tcPr>
            <w:tcW w:w="1293" w:type="dxa"/>
            <w:vAlign w:val="center"/>
          </w:tcPr>
          <w:p>
            <w:pPr>
              <w:pStyle w:val="TableText"/>
              <w:jc w:val="center"/>
            </w:pPr>
            <w:r>
              <w:t xml:space="preserve">服务接口</w:t>
            </w:r>
          </w:p>
        </w:tc>
        <w:tc>
          <w:tcPr>
            <w:tcW w:w="2193" w:type="dxa"/>
            <w:vAlign w:val="center"/>
          </w:tcPr>
          <w:p>
            <w:pPr>
              <w:pStyle w:val="TableText"/>
              <w:jc w:val="left"/>
            </w:pPr>
            <w:r>
              <w:t xml:space="preserve">api/</w:t>
            </w:r>
          </w:p>
        </w:tc>
        <w:tc>
          <w:tcPr>
            <w:tcW w:w="6380" w:type="dxa"/>
            <w:vAlign w:val="center"/>
          </w:tcPr>
          <w:p>
            <w:pPr>
              <w:pStyle w:val="TableText"/>
              <w:jc w:val="left"/>
            </w:pPr>
            <w:r>
              <w:t xml:space="preserve">HTTP 接口层，暴露摄取、召回、遗忘、统计等能力</w:t>
            </w:r>
          </w:p>
        </w:tc>
      </w:tr>
      <w:tr>
        <w:trPr>
          <w:cantSplit/>
        </w:trPr>
        <w:tc>
          <w:tcPr>
            <w:tcW w:w="1293" w:type="dxa"/>
            <w:vAlign w:val="center"/>
          </w:tcPr>
          <w:p>
            <w:pPr>
              <w:pStyle w:val="TableText"/>
              <w:jc w:val="center"/>
            </w:pPr>
            <w:r>
              <w:t xml:space="preserve">演示前端</w:t>
            </w:r>
          </w:p>
        </w:tc>
        <w:tc>
          <w:tcPr>
            <w:tcW w:w="2193" w:type="dxa"/>
            <w:vAlign w:val="center"/>
          </w:tcPr>
          <w:p>
            <w:pPr>
              <w:pStyle w:val="TableText"/>
              <w:jc w:val="left"/>
            </w:pPr>
            <w:r>
              <w:t xml:space="preserve">frontend/</w:t>
            </w:r>
          </w:p>
        </w:tc>
        <w:tc>
          <w:tcPr>
            <w:tcW w:w="6380" w:type="dxa"/>
            <w:vAlign w:val="center"/>
          </w:tcPr>
          <w:p>
            <w:pPr>
              <w:pStyle w:val="TableText"/>
              <w:jc w:val="left"/>
            </w:pPr>
            <w:r>
              <w:t xml:space="preserve">记忆可视化、写入、检索、画像与遗忘交互</w:t>
            </w:r>
          </w:p>
        </w:tc>
      </w:tr>
      <w:tr>
        <w:trPr>
          <w:cantSplit/>
        </w:trPr>
        <w:tc>
          <w:tcPr>
            <w:tcW w:w="1293" w:type="dxa"/>
            <w:vAlign w:val="center"/>
          </w:tcPr>
          <w:p>
            <w:pPr>
              <w:pStyle w:val="TableText"/>
              <w:jc w:val="center"/>
            </w:pPr>
            <w:r>
              <w:t xml:space="preserve">评测</w:t>
            </w:r>
          </w:p>
        </w:tc>
        <w:tc>
          <w:tcPr>
            <w:tcW w:w="2193" w:type="dxa"/>
            <w:vAlign w:val="center"/>
          </w:tcPr>
          <w:p>
            <w:pPr>
              <w:pStyle w:val="TableText"/>
              <w:jc w:val="left"/>
            </w:pPr>
            <w:r>
              <w:t xml:space="preserve">tests/ &amp; benchmarks/</w:t>
            </w:r>
          </w:p>
        </w:tc>
        <w:tc>
          <w:tcPr>
            <w:tcW w:w="6380"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3 的偏好抽取与环节 4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77264"/>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77264"/>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rPr>
          <w:rFonts w:ascii="Times New Roman" w:hAnsi="Times New Roman" w:cs="Times New Roman"/>
        </w:rP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rPr>
          <w:rFonts w:ascii="Times New Roman" w:hAnsi="Times New Roman" w:cs="Times New Roman"/>
        </w:rP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rPr>
          <w:rFonts w:ascii="Times New Roman" w:hAnsi="Times New Roman" w:cs="Times New Roman"/>
        </w:rP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rPr>
          <w:rFonts w:ascii="Times New Roman" w:hAnsi="Times New Roman" w:cs="Times New Roman"/>
        </w:rP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rPr>
          <w:rFonts w:ascii="Times New Roman" w:hAnsi="Times New Roman" w:cs="Times New Roman"/>
        </w:rP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rPr>
          <w:rFonts w:ascii="Times New Roman" w:hAnsi="Times New Roman" w:cs="Times New Roman"/>
        </w:rP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rPr>
          <w:rFonts w:ascii="Times New Roman" w:hAnsi="Times New Roman" w:cs="Times New Roman"/>
        </w:rP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rPr>
          <w:rFonts w:ascii="Times New Roman" w:hAnsi="Times New Roman" w:cs="Times New Roman"/>
        </w:rP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rPr>
          <w:rFonts w:ascii="Times New Roman" w:hAnsi="Times New Roman" w:cs="Times New Roman"/>
        </w:rP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rPr>
          <w:rFonts w:ascii="Times New Roman" w:hAnsi="Times New Roman" w:cs="Times New Roman"/>
        </w:rP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rPr>
          <w:rFonts w:ascii="Times New Roman" w:hAnsi="Times New Roman" w:cs="Times New Roman"/>
        </w:rP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rPr>
          <w:rFonts w:ascii="Times New Roman" w:hAnsi="Times New Roman" w:cs="Times New Roman"/>
        </w:rP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rPr>
          <w:rFonts w:ascii="Times New Roman" w:hAnsi="Times New Roman" w:cs="Times New Roman"/>
        </w:rP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rPr>
          <w:rFonts w:ascii="Times New Roman" w:hAnsi="Times New Roman" w:cs="Times New Roman"/>
        </w:rP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与长期化候选使用的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过滤、空表达式退化为不过滤两类临界情况固定为断言，避免后续维护者误以为是实现缺陷而随意修改语义。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rPr>
          <w:rFonts w:ascii="Times New Roman" w:hAnsi="Times New Roman" w:cs="Times New Roman"/>
        </w:rP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rPr>
          <w:rFonts w:ascii="Times New Roman" w:hAnsi="Times New Roman" w:cs="Times New Roman"/>
        </w:rP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rPr>
          <w:rFonts w:ascii="Times New Roman" w:hAnsi="Times New Roman" w:cs="Times New Roman"/>
        </w:rP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rPr>
          <w:rFonts w:ascii="Times New Roman" w:hAnsi="Times New Roman" w:cs="Times New Roman"/>
        </w:rP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rPr>
          <w:rFonts w:ascii="Times New Roman" w:hAnsi="Times New Roman" w:cs="Times New Roman"/>
        </w:rP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rPr>
          <w:rFonts w:ascii="Times New Roman" w:hAnsi="Times New Roman" w:cs="Times New Roman"/>
        </w:rP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低信任埋点不会改写权威知识；代价是实体级合并尚未实现，当前仍有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rPr>
          <w:rFonts w:ascii="Times New Roman" w:hAnsi="Times New Roman" w:cs="Times New Roman"/>
        </w:rPr>
        <w:t xml:space="preserve">•</w:t>
      </w:r>
      <w:r>
        <w:tab/>
      </w:r>
      <w:r>
        <w:rPr>
          <w:b/>
        </w:rPr>
        <w:t xml:space="preserve">向量化复用</w:t>
      </w:r>
      <w:r>
        <w:t xml:space="preserve">：同一会话内相同文本不重复计算向量。</w:t>
      </w:r>
    </w:p>
    <w:p>
      <w:pPr>
        <w:pStyle w:val="ListParagraph"/>
        <w:tabs>
          <w:tab w:val="left" w:pos="420"/>
        </w:tabs>
        <w:ind w:left="420" w:hanging="210"/>
      </w:pPr>
      <w:r>
        <w:rPr>
          <w:rFonts w:ascii="Times New Roman" w:hAnsi="Times New Roman" w:cs="Times New Roman"/>
        </w:rP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rPr>
          <w:rFonts w:ascii="Times New Roman" w:hAnsi="Times New Roman" w:cs="Times New Roman"/>
        </w:rP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rPr>
          <w:rFonts w:ascii="Times New Roman" w:hAnsi="Times New Roman" w:cs="Times New Roman"/>
        </w:rP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p>
      <w:pPr>
        <w:pStyle w:val="TableCaption"/>
      </w:pPr>
      <w:r>
        <w:t xml:space="preserve">表 6-1  三种运行形态的对照</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防误脱敏设计：执行每条规则前，先用哨兵符把已有占位符保护起来，避免数字类规则把占位符内的十六进制数字段二次识别为敏感内容。该问题在早期版本中真实出现过，现已通过哨兵机制与回归测试固定。</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rPr>
          <w:rFonts w:ascii="Times New Roman" w:hAnsi="Times New Roman" w:cs="Times New Roman"/>
        </w:rP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rPr>
          <w:rFonts w:ascii="Times New Roman" w:hAnsi="Times New Roman" w:cs="Times New Roman"/>
        </w:rP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rPr>
          <w:rFonts w:ascii="Times New Roman" w:hAnsi="Times New Roman" w:cs="Times New Roman"/>
        </w:rP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rPr>
          <w:rFonts w:ascii="Times New Roman" w:hAnsi="Times New Roman" w:cs="Times New Roman"/>
        </w:rP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rPr>
          <w:rFonts w:ascii="Times New Roman" w:hAnsi="Times New Roman" w:cs="Times New Roman"/>
        </w:rP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rPr>
          <w:rFonts w:ascii="Times New Roman" w:hAnsi="Times New Roman" w:cs="Times New Roman"/>
        </w:rPr>
        <w:t xml:space="preserve">2.</w:t>
      </w:r>
      <w:r>
        <w:tab/>
      </w:r>
      <w:r>
        <w:rPr>
          <w:b/>
        </w:rPr>
        <w:t xml:space="preserve">空指令安全</w:t>
      </w:r>
      <w:r>
        <w:t xml:space="preserve">：空指令返回零删除，不做通配匹配。</w:t>
      </w:r>
    </w:p>
    <w:p>
      <w:pPr>
        <w:pStyle w:val="ListParagraph"/>
        <w:tabs>
          <w:tab w:val="left" w:pos="480"/>
        </w:tabs>
        <w:ind w:left="480" w:hanging="270"/>
      </w:pPr>
      <w:r>
        <w:rPr>
          <w:rFonts w:ascii="Times New Roman" w:hAnsi="Times New Roman" w:cs="Times New Roman"/>
        </w:rP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rPr>
          <w:rFonts w:ascii="Times New Roman" w:hAnsi="Times New Roman" w:cs="Times New Roman"/>
        </w:rP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p>
      <w:pPr>
        <w:pStyle w:val="TableCaption"/>
      </w:pPr>
      <w:r>
        <w:t xml:space="preserve">表 8-1  三个记忆层的交互职责划分</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仅由长期化流程写入，不接受直接写入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r>
        <w:t xml:space="preserve">该划分背后有三条设计理由：</w:t>
      </w:r>
    </w:p>
    <w:p>
      <w:pPr>
        <w:pStyle w:val="ListParagraph"/>
        <w:tabs>
          <w:tab w:val="left" w:pos="480"/>
        </w:tabs>
        <w:ind w:left="480" w:hanging="270"/>
      </w:pPr>
      <w:r>
        <w:rPr>
          <w:rFonts w:ascii="Times New Roman" w:hAnsi="Times New Roman" w:cs="Times New Roman"/>
        </w:rP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rPr>
          <w:rFonts w:ascii="Times New Roman" w:hAnsi="Times New Roman" w:cs="Times New Roman"/>
        </w:rP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rPr>
          <w:rFonts w:ascii="Times New Roman" w:hAnsi="Times New Roman" w:cs="Times New Roman"/>
        </w:rP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热度模型与长期化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。若不显式触发访问计数，知识类记忆会长期停留在短期层而无法进入检索范围。工程上通过检索接口的访问计数与显式触达接口解决，并在验收脚本中固定了「先触达再长期化」的标准流程。</w:t>
      </w:r>
    </w:p>
    <w:p>
      <w:r>
        <w:t xml:space="preserve">中期转入长期时有两项语义增强：</w:t>
      </w:r>
    </w:p>
    <w:p>
      <w:pPr>
        <w:pStyle w:val="ListParagraph"/>
        <w:tabs>
          <w:tab w:val="left" w:pos="420"/>
        </w:tabs>
        <w:ind w:left="420" w:hanging="210"/>
      </w:pPr>
      <w:r>
        <w:rPr>
          <w:rFonts w:ascii="Times New Roman" w:hAnsi="Times New Roman" w:cs="Times New Roman"/>
        </w:rP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rPr>
          <w:rFonts w:ascii="Times New Roman" w:hAnsi="Times New Roman" w:cs="Times New Roman"/>
        </w:rP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：对中期碎片做抽象提炼后再写入长期层，使跨对话合并后的稳定陈述被提炼而非原样搬运。该能力可选用本地模型增强，默认关闭以避免每次长期化都调用模型。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rPr>
          <w:rFonts w:ascii="Times New Roman" w:hAnsi="Times New Roman" w:cs="Times New Roman"/>
        </w:rP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rPr>
          <w:rFonts w:ascii="Times New Roman" w:hAnsi="Times New Roman" w:cs="Times New Roman"/>
        </w:rP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rPr>
          <w:rFonts w:ascii="Times New Roman" w:hAnsi="Times New Roman" w:cs="Times New Roman"/>
        </w:rPr>
        <w:t xml:space="preserve">3.</w:t>
      </w:r>
      <w:r>
        <w:tab/>
      </w:r>
      <w:r>
        <w:rPr>
          <w:b/>
        </w:rPr>
        <w:t xml:space="preserve">已晋升内容不重复长期化</w:t>
      </w:r>
      <w:r>
        <w:t xml:space="preserve">：晋升后原层的条目状态被正确标记，避免同一内容在多轮长期化中产生副本。</w:t>
      </w:r>
    </w:p>
    <w:p>
      <w:pPr>
        <w:pStyle w:val="Heading2"/>
      </w:pPr>
      <w:r>
        <w:t xml:space="preserve">8.5  机制创新点：记忆流转与长期化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。这种划分方式本身也是对评审的如实说明：前期验证「功能是否跑通」，后期验证「公开数据集上的指标水平」。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短期到长期晋升、长期化、进程重启后仍可召回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p>
      <w:pPr>
        <w:pStyle w:val="TableCaption"/>
      </w:pPr>
      <w:r>
        <w:t xml:space="preserve">表 9-1  前期功能覆盖演示集分功能结果</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p>
      <w:pPr>
        <w:pStyle w:val="TableCaption"/>
      </w:pPr>
      <w:r>
        <w:t xml:space="preserve">表 9-2  后期公开数据集抽样结果</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0）。上述不足均列入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p>
      <w:pPr>
        <w:pStyle w:val="TableCaption"/>
      </w:pPr>
      <w:r>
        <w:t xml:space="preserve">表 9-3  银河麒麟 V11 真机验收结果</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Heading3"/>
      </w:pPr>
      <w:r>
        <w:t xml:space="preserve">9.6.1  验收环境约束</w:t>
      </w:r>
    </w:p>
    <w:p>
      <w:r>
        <w:t xml:space="preserve">真机部署过程中定位并固定为操作约束的环境问题：</w:t>
      </w:r>
    </w:p>
    <w:p>
      <w:pPr>
        <w:pStyle w:val="ListParagraph"/>
        <w:tabs>
          <w:tab w:val="left" w:pos="480"/>
        </w:tabs>
        <w:ind w:left="480" w:hanging="270"/>
      </w:pPr>
      <w:r>
        <w:rPr>
          <w:rFonts w:ascii="Times New Roman" w:hAnsi="Times New Roman" w:cs="Times New Roman"/>
        </w:rP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rPr>
          <w:rFonts w:ascii="Times New Roman" w:hAnsi="Times New Roman" w:cs="Times New Roman"/>
        </w:rP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rPr>
          <w:rFonts w:ascii="Times New Roman" w:hAnsi="Times New Roman" w:cs="Times New Roman"/>
        </w:rP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rPr>
          <w:rFonts w:ascii="Times New Roman" w:hAnsi="Times New Roman" w:cs="Times New Roman"/>
        </w:rP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rPr>
          <w:rFonts w:ascii="Times New Roman" w:hAnsi="Times New Roman" w:cs="Times New Roman"/>
        </w:rP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rPr>
          <w:rFonts w:ascii="Times New Roman" w:hAnsi="Times New Roman" w:cs="Times New Roman"/>
        </w:rP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rPr>
          <w:rFonts w:ascii="Times New Roman" w:hAnsi="Times New Roman" w:cs="Times New Roman"/>
        </w:rP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开放域抽取头已实现（语义口径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rPr>
          <w:rFonts w:ascii="Times New Roman" w:hAnsi="Times New Roman" w:cs="Times New Roman"/>
        </w:rPr>
        <w:t xml:space="preserve">•</w:t>
      </w:r>
      <w:r>
        <w:tab/>
      </w:r>
      <w:r>
        <w:t xml:space="preserve">大规模全库检索（TREC 官方 8.8M 段落全集未进引擎，约需 27GB 向量内存）。</w:t>
      </w:r>
    </w:p>
    <w:p>
      <w:pPr>
        <w:pStyle w:val="ListParagraph"/>
        <w:tabs>
          <w:tab w:val="left" w:pos="420"/>
        </w:tabs>
        <w:ind w:left="420" w:hanging="210"/>
      </w:pPr>
      <w:r>
        <w:rPr>
          <w:rFonts w:ascii="Times New Roman" w:hAnsi="Times New Roman" w:cs="Times New Roman"/>
        </w:rP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rPr>
          <w:rFonts w:ascii="Times New Roman" w:hAnsi="Times New Roman" w:cs="Times New Roman"/>
        </w:rPr>
        <w:t xml:space="preserve">•</w:t>
      </w:r>
      <w:r>
        <w:tab/>
      </w:r>
      <w:r>
        <w:t xml:space="preserve">浏览器端到端真实 API 联调的大规模复测。</w:t>
      </w:r>
    </w:p>
    <w:p>
      <w:pPr>
        <w:pStyle w:val="ListParagraph"/>
        <w:tabs>
          <w:tab w:val="left" w:pos="420"/>
        </w:tabs>
        <w:ind w:left="420" w:hanging="210"/>
      </w:pPr>
      <w:r>
        <w:rPr>
          <w:rFonts w:ascii="Times New Roman" w:hAnsi="Times New Roman" w:cs="Times New Roman"/>
        </w:rPr>
        <w:t xml:space="preserve">•</w:t>
      </w:r>
      <w:r>
        <w:tab/>
      </w:r>
      <w:r>
        <w:t xml:space="preserve">部分数据集的原生指标（官方 BLEU、多轮对话 inform、槽位跟踪等）。</w:t>
      </w:r>
    </w:p>
    <w:p>
      <w:pPr>
        <w:pStyle w:val="Heading2"/>
      </w:pPr>
      <w:r>
        <w:t xml:space="preserve">9.8  结果说明与适用范围</w:t>
      </w:r>
    </w:p>
    <w:p>
      <w:r>
        <w:t xml:space="preserve">以下说明随全部指标一并提交，避免结论被过度解读：</w:t>
      </w:r>
    </w:p>
    <w:p>
      <w:pPr>
        <w:pStyle w:val="ListParagraph"/>
        <w:tabs>
          <w:tab w:val="left" w:pos="420"/>
        </w:tabs>
        <w:ind w:left="420" w:hanging="210"/>
      </w:pPr>
      <w:r>
        <w:rPr>
          <w:rFonts w:ascii="Times New Roman" w:hAnsi="Times New Roman" w:cs="Times New Roman"/>
        </w:rP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rPr>
          <w:rFonts w:ascii="Times New Roman" w:hAnsi="Times New Roman" w:cs="Times New Roman"/>
        </w:rP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rPr>
          <w:rFonts w:ascii="Times New Roman" w:hAnsi="Times New Roman" w:cs="Times New Roman"/>
        </w:rP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rPr>
          <w:rFonts w:ascii="Times New Roman" w:hAnsi="Times New Roman" w:cs="Times New Roman"/>
        </w:rP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rPr>
          <w:rFonts w:ascii="Times New Roman" w:hAnsi="Times New Roman" w:cs="Times New Roman"/>
        </w:rP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rPr>
          <w:rFonts w:ascii="Times New Roman" w:hAnsi="Times New Roman" w:cs="Times New Roman"/>
        </w:rP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rPr>
          <w:rFonts w:ascii="Times New Roman" w:hAnsi="Times New Roman" w:cs="Times New Roman"/>
        </w:rP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rPr>
          <w:rFonts w:ascii="Times New Roman" w:hAnsi="Times New Roman" w:cs="Times New Roman"/>
        </w:rP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rPr>
          <w:rFonts w:ascii="Times New Roman" w:hAnsi="Times New Roman" w:cs="Times New Roman"/>
        </w:rP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rPr>
          <w:rFonts w:ascii="Times New Roman" w:hAnsi="Times New Roman" w:cs="Times New Roman"/>
        </w:rP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rPr>
          <w:rFonts w:ascii="Times New Roman" w:hAnsi="Times New Roman" w:cs="Times New Roman"/>
        </w:rP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rPr>
          <w:rFonts w:ascii="Times New Roman" w:hAnsi="Times New Roman" w:cs="Times New Roman"/>
        </w:rPr>
        <w:t xml:space="preserve">1.</w:t>
      </w:r>
      <w:r>
        <w:tab/>
      </w:r>
      <w:r>
        <w:t xml:space="preserve">进入「写入记忆」页，按数据源选择：文件 / 图片、工具结果、用户行为、手动配置、文本对话。</w:t>
      </w:r>
    </w:p>
    <w:p>
      <w:pPr>
        <w:pStyle w:val="ListParagraph"/>
        <w:tabs>
          <w:tab w:val="left" w:pos="480"/>
        </w:tabs>
        <w:ind w:left="480" w:hanging="270"/>
      </w:pPr>
      <w:r>
        <w:rPr>
          <w:rFonts w:ascii="Times New Roman" w:hAnsi="Times New Roman" w:cs="Times New Roman"/>
        </w:rPr>
        <w:t xml:space="preserve">2.</w:t>
      </w:r>
      <w:r>
        <w:tab/>
      </w:r>
      <w:r>
        <w:t xml:space="preserve">填写内容后提交，页面返回质量分、是否接受、拒绝原因与抽取到的偏好键。</w:t>
      </w:r>
    </w:p>
    <w:p>
      <w:pPr>
        <w:pStyle w:val="ListParagraph"/>
        <w:tabs>
          <w:tab w:val="left" w:pos="480"/>
        </w:tabs>
        <w:ind w:left="480" w:hanging="270"/>
      </w:pPr>
      <w:r>
        <w:rPr>
          <w:rFonts w:ascii="Times New Roman" w:hAnsi="Times New Roman" w:cs="Times New Roman"/>
        </w:rP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rPr>
          <w:rFonts w:ascii="Times New Roman" w:hAnsi="Times New Roman" w:cs="Times New Roman"/>
        </w:rPr>
        <w:t xml:space="preserve">1.</w:t>
      </w:r>
      <w:r>
        <w:tab/>
      </w:r>
      <w:r>
        <w:t xml:space="preserve">进入「偏好画像」页，选择用户与场景。</w:t>
      </w:r>
    </w:p>
    <w:p>
      <w:pPr>
        <w:pStyle w:val="ListParagraph"/>
        <w:tabs>
          <w:tab w:val="left" w:pos="480"/>
        </w:tabs>
        <w:ind w:left="480" w:hanging="270"/>
      </w:pPr>
      <w:r>
        <w:rPr>
          <w:rFonts w:ascii="Times New Roman" w:hAnsi="Times New Roman" w:cs="Times New Roman"/>
        </w:rPr>
        <w:t xml:space="preserve">2.</w:t>
      </w:r>
      <w:r>
        <w:tab/>
      </w:r>
      <w:r>
        <w:t xml:space="preserve">页面展示当前生效的键值、置信度、观测次数与版本号。</w:t>
      </w:r>
    </w:p>
    <w:p>
      <w:pPr>
        <w:pStyle w:val="ListParagraph"/>
        <w:tabs>
          <w:tab w:val="left" w:pos="480"/>
        </w:tabs>
        <w:ind w:left="480" w:hanging="270"/>
      </w:pPr>
      <w:r>
        <w:rPr>
          <w:rFonts w:ascii="Times New Roman" w:hAnsi="Times New Roman" w:cs="Times New Roman"/>
        </w:rP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rPr>
          <w:rFonts w:ascii="Times New Roman" w:hAnsi="Times New Roman" w:cs="Times New Roman"/>
        </w:rPr>
        <w:t xml:space="preserve">1.</w:t>
      </w:r>
      <w:r>
        <w:tab/>
      </w:r>
      <w:r>
        <w:t xml:space="preserve">进入「检索」页，输入自然语言查询。</w:t>
      </w:r>
    </w:p>
    <w:p>
      <w:pPr>
        <w:pStyle w:val="ListParagraph"/>
        <w:tabs>
          <w:tab w:val="left" w:pos="480"/>
        </w:tabs>
        <w:ind w:left="480" w:hanging="270"/>
      </w:pPr>
      <w:r>
        <w:rPr>
          <w:rFonts w:ascii="Times New Roman" w:hAnsi="Times New Roman" w:cs="Times New Roman"/>
        </w:rPr>
        <w:t xml:space="preserve">2.</w:t>
      </w:r>
      <w:r>
        <w:tab/>
      </w:r>
      <w:r>
        <w:t xml:space="preserve">可限定记忆类型与场景以提升精度。</w:t>
      </w:r>
    </w:p>
    <w:p>
      <w:pPr>
        <w:pStyle w:val="ListParagraph"/>
        <w:tabs>
          <w:tab w:val="left" w:pos="480"/>
        </w:tabs>
        <w:ind w:left="480" w:hanging="270"/>
      </w:pPr>
      <w:r>
        <w:rPr>
          <w:rFonts w:ascii="Times New Roman" w:hAnsi="Times New Roman" w:cs="Times New Roman"/>
        </w:rP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rPr>
          <w:rFonts w:ascii="Times New Roman" w:hAnsi="Times New Roman" w:cs="Times New Roman"/>
        </w:rPr>
        <w:t xml:space="preserve">1.</w:t>
      </w:r>
      <w:r>
        <w:tab/>
      </w:r>
      <w:r>
        <w:t xml:space="preserve">进入「遗忘」页，输入自然语言指令，例如「忘掉关于下载目录的偏好」。</w:t>
      </w:r>
    </w:p>
    <w:p>
      <w:pPr>
        <w:pStyle w:val="ListParagraph"/>
        <w:tabs>
          <w:tab w:val="left" w:pos="480"/>
        </w:tabs>
        <w:ind w:left="480" w:hanging="270"/>
      </w:pPr>
      <w:r>
        <w:rPr>
          <w:rFonts w:ascii="Times New Roman" w:hAnsi="Times New Roman" w:cs="Times New Roman"/>
        </w:rPr>
        <w:t xml:space="preserve">2.</w:t>
      </w:r>
      <w:r>
        <w:tab/>
      </w:r>
      <w:r>
        <w:t xml:space="preserve">系统返回解析出的目标数量与删除标识列表。</w:t>
      </w:r>
    </w:p>
    <w:p>
      <w:pPr>
        <w:pStyle w:val="ListParagraph"/>
        <w:tabs>
          <w:tab w:val="left" w:pos="480"/>
        </w:tabs>
        <w:ind w:left="480" w:hanging="270"/>
      </w:pPr>
      <w:r>
        <w:rPr>
          <w:rFonts w:ascii="Times New Roman" w:hAnsi="Times New Roman" w:cs="Times New Roman"/>
        </w:rP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触发中期转入长期</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98"/>
        <w:gridCol w:w="2410"/>
        <w:gridCol w:w="2750"/>
        <w:gridCol w:w="2279"/>
        <w:gridCol w:w="829"/>
      </w:tblGrid>
      <w:tr>
        <w:trPr>
          <w:cantSplit/>
          <w:tblHeader/>
        </w:trPr>
        <w:tc>
          <w:tcPr>
            <w:tcW w:w="1598"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829" w:type="dxa"/>
            <w:shd w:val="clear" w:color="auto" w:fill="DCE6F1"/>
            <w:vAlign w:val="center"/>
          </w:tcPr>
          <w:p>
            <w:pPr>
              <w:pStyle w:val="TableHeadS"/>
              <w:jc w:val="center"/>
            </w:pPr>
            <w:r>
              <w:t xml:space="preserve">详见</w:t>
            </w:r>
          </w:p>
        </w:tc>
      </w:tr>
      <w:tr>
        <w:trPr>
          <w:cantSplit/>
        </w:trPr>
        <w:tc>
          <w:tcPr>
            <w:tcW w:w="1598" w:type="dxa"/>
            <w:vAlign w:val="center"/>
          </w:tcPr>
          <w:p>
            <w:pPr>
              <w:pStyle w:val="TableTextS"/>
              <w:jc w:val="left"/>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829" w:type="dxa"/>
            <w:vAlign w:val="center"/>
          </w:tcPr>
          <w:p>
            <w:pPr>
              <w:pStyle w:val="TableTextS"/>
              <w:jc w:val="center"/>
            </w:pPr>
            <w:r>
              <w:t xml:space="preserve">4.2、4.7</w:t>
            </w:r>
          </w:p>
        </w:tc>
      </w:tr>
      <w:tr>
        <w:trPr>
          <w:cantSplit/>
        </w:trPr>
        <w:tc>
          <w:tcPr>
            <w:tcW w:w="1598" w:type="dxa"/>
            <w:vAlign w:val="center"/>
          </w:tcPr>
          <w:p>
            <w:pPr>
              <w:pStyle w:val="TableTextS"/>
              <w:jc w:val="left"/>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829" w:type="dxa"/>
            <w:vAlign w:val="center"/>
          </w:tcPr>
          <w:p>
            <w:pPr>
              <w:pStyle w:val="TableTextS"/>
              <w:jc w:val="center"/>
            </w:pPr>
            <w:r>
              <w:t xml:space="preserve">4.3、4.7</w:t>
            </w:r>
          </w:p>
        </w:tc>
      </w:tr>
      <w:tr>
        <w:trPr>
          <w:cantSplit/>
        </w:trPr>
        <w:tc>
          <w:tcPr>
            <w:tcW w:w="1598" w:type="dxa"/>
            <w:vAlign w:val="center"/>
          </w:tcPr>
          <w:p>
            <w:pPr>
              <w:pStyle w:val="TableTextS"/>
              <w:jc w:val="left"/>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829" w:type="dxa"/>
            <w:vAlign w:val="center"/>
          </w:tcPr>
          <w:p>
            <w:pPr>
              <w:pStyle w:val="TableTextS"/>
              <w:jc w:val="center"/>
            </w:pPr>
            <w:r>
              <w:t xml:space="preserve">4.5、4.7</w:t>
            </w:r>
          </w:p>
        </w:tc>
      </w:tr>
      <w:tr>
        <w:trPr>
          <w:cantSplit/>
        </w:trPr>
        <w:tc>
          <w:tcPr>
            <w:tcW w:w="1598" w:type="dxa"/>
            <w:vAlign w:val="center"/>
          </w:tcPr>
          <w:p>
            <w:pPr>
              <w:pStyle w:val="TableTextS"/>
              <w:jc w:val="left"/>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829" w:type="dxa"/>
            <w:vAlign w:val="center"/>
          </w:tcPr>
          <w:p>
            <w:pPr>
              <w:pStyle w:val="TableTextS"/>
              <w:jc w:val="center"/>
            </w:pPr>
            <w:r>
              <w:t xml:space="preserve">4.4、4.7</w:t>
            </w:r>
          </w:p>
        </w:tc>
      </w:tr>
      <w:tr>
        <w:trPr>
          <w:cantSplit/>
        </w:trPr>
        <w:tc>
          <w:tcPr>
            <w:tcW w:w="1598" w:type="dxa"/>
            <w:vAlign w:val="center"/>
          </w:tcPr>
          <w:p>
            <w:pPr>
              <w:pStyle w:val="TableTextS"/>
              <w:jc w:val="left"/>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829" w:type="dxa"/>
            <w:vAlign w:val="center"/>
          </w:tcPr>
          <w:p>
            <w:pPr>
              <w:pStyle w:val="TableTextS"/>
              <w:jc w:val="center"/>
            </w:pPr>
            <w:r>
              <w:t xml:space="preserve">5.2、5.5</w:t>
            </w:r>
          </w:p>
        </w:tc>
      </w:tr>
      <w:tr>
        <w:trPr>
          <w:cantSplit/>
        </w:trPr>
        <w:tc>
          <w:tcPr>
            <w:tcW w:w="1598" w:type="dxa"/>
            <w:vAlign w:val="center"/>
          </w:tcPr>
          <w:p>
            <w:pPr>
              <w:pStyle w:val="TableTextS"/>
              <w:jc w:val="left"/>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829" w:type="dxa"/>
            <w:vAlign w:val="center"/>
          </w:tcPr>
          <w:p>
            <w:pPr>
              <w:pStyle w:val="TableTextS"/>
              <w:jc w:val="center"/>
            </w:pPr>
            <w:r>
              <w:t xml:space="preserve">5.3、5.5</w:t>
            </w:r>
          </w:p>
        </w:tc>
      </w:tr>
      <w:tr>
        <w:trPr>
          <w:cantSplit/>
        </w:trPr>
        <w:tc>
          <w:tcPr>
            <w:tcW w:w="1598" w:type="dxa"/>
            <w:vAlign w:val="center"/>
          </w:tcPr>
          <w:p>
            <w:pPr>
              <w:pStyle w:val="TableTextS"/>
              <w:jc w:val="left"/>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829" w:type="dxa"/>
            <w:vAlign w:val="center"/>
          </w:tcPr>
          <w:p>
            <w:pPr>
              <w:pStyle w:val="TableTextS"/>
              <w:jc w:val="center"/>
            </w:pPr>
            <w:r>
              <w:t xml:space="preserve">6.1、6.5</w:t>
            </w:r>
          </w:p>
        </w:tc>
      </w:tr>
      <w:tr>
        <w:trPr>
          <w:cantSplit/>
        </w:trPr>
        <w:tc>
          <w:tcPr>
            <w:tcW w:w="1598" w:type="dxa"/>
            <w:vAlign w:val="center"/>
          </w:tcPr>
          <w:p>
            <w:pPr>
              <w:pStyle w:val="TableTextS"/>
              <w:jc w:val="left"/>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829" w:type="dxa"/>
            <w:vAlign w:val="center"/>
          </w:tcPr>
          <w:p>
            <w:pPr>
              <w:pStyle w:val="TableTextS"/>
              <w:jc w:val="center"/>
            </w:pPr>
            <w:r>
              <w:t xml:space="preserve">7.3、7.6</w:t>
            </w:r>
          </w:p>
        </w:tc>
      </w:tr>
      <w:tr>
        <w:trPr>
          <w:cantSplit/>
        </w:trPr>
        <w:tc>
          <w:tcPr>
            <w:tcW w:w="1598" w:type="dxa"/>
            <w:vAlign w:val="center"/>
          </w:tcPr>
          <w:p>
            <w:pPr>
              <w:pStyle w:val="TableTextS"/>
              <w:jc w:val="left"/>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829" w:type="dxa"/>
            <w:vAlign w:val="center"/>
          </w:tcPr>
          <w:p>
            <w:pPr>
              <w:pStyle w:val="TableTextS"/>
              <w:jc w:val="center"/>
            </w:pPr>
            <w:r>
              <w:t xml:space="preserve">7.4、7.6</w:t>
            </w:r>
          </w:p>
        </w:tc>
      </w:tr>
      <w:tr>
        <w:trPr>
          <w:cantSplit/>
        </w:trPr>
        <w:tc>
          <w:tcPr>
            <w:tcW w:w="1598" w:type="dxa"/>
            <w:vAlign w:val="center"/>
          </w:tcPr>
          <w:p>
            <w:pPr>
              <w:pStyle w:val="TableTextS"/>
              <w:jc w:val="left"/>
            </w:pPr>
            <w:r>
              <w:t xml:space="preserve">记忆流转与长期化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829" w:type="dxa"/>
            <w:vAlign w:val="center"/>
          </w:tcPr>
          <w:p>
            <w:pPr>
              <w:pStyle w:val="TableTextS"/>
              <w:jc w:val="center"/>
            </w:pPr>
            <w:r>
              <w:t xml:space="preserve">8.2、8.5</w:t>
            </w:r>
          </w:p>
        </w:tc>
      </w:tr>
      <w:tr>
        <w:trPr>
          <w:cantSplit/>
        </w:trPr>
        <w:tc>
          <w:tcPr>
            <w:tcW w:w="1598" w:type="dxa"/>
            <w:vAlign w:val="center"/>
          </w:tcPr>
          <w:p>
            <w:pPr>
              <w:pStyle w:val="TableTextS"/>
              <w:jc w:val="left"/>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829"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的记忆模块优化，实际价值体现在四个层面：</w:t>
      </w:r>
    </w:p>
    <w:p>
      <w:pPr>
        <w:pStyle w:val="ListParagraph"/>
        <w:tabs>
          <w:tab w:val="left" w:pos="420"/>
        </w:tabs>
        <w:ind w:left="420" w:hanging="210"/>
      </w:pPr>
      <w:r>
        <w:rPr>
          <w:rFonts w:ascii="Times New Roman" w:hAnsi="Times New Roman" w:cs="Times New Roman"/>
        </w:rP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rPr>
          <w:rFonts w:ascii="Times New Roman" w:hAnsi="Times New Roman" w:cs="Times New Roman"/>
        </w:rP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rPr>
          <w:rFonts w:ascii="Times New Roman" w:hAnsi="Times New Roman" w:cs="Times New Roman"/>
        </w:rP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rPr>
          <w:rFonts w:ascii="Times New Roman" w:hAnsi="Times New Roman" w:cs="Times New Roman"/>
        </w:rPr>
        <w:t xml:space="preserve">•</w:t>
      </w:r>
      <w:r>
        <w:tab/>
      </w:r>
      <w:r>
        <w:rPr>
          <w:b/>
        </w:rPr>
        <w:t xml:space="preserve">数据安全合规</w:t>
      </w:r>
      <w:r>
        <w:t xml:space="preserve">：敏感信息不出本地，记忆库只存不可逆占位符，配合自然语言遗忘满足数据删除权的实际需求。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章给出明确的演进优先级。这些不足是后续迭代的输入，而非需要回避的结论。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长期化</w:t>
            </w:r>
          </w:p>
        </w:tc>
        <w:tc>
          <w:tcPr>
            <w:tcW w:w="7983" w:type="dxa"/>
            <w:vAlign w:val="center"/>
          </w:tcPr>
          <w:p>
            <w:pPr>
              <w:pStyle w:val="TableText"/>
              <w:jc w:val="left"/>
            </w:pPr>
            <w:r>
              <w:t xml:space="preserve">记忆由中期转入长期并写入向量库的过程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长期化后的权威记忆，写入向量库并参与检索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p>
      <w:pPr>
        <w:pStyle w:val="TableCaption"/>
      </w:pPr>
      <w:r>
        <w:t xml:space="preserve">表 A-1  偏好键位注册表（按类别）</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jc w:val="left"/>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TableCaption">
    <w:name w:val="Table Caption"/>
    <w:basedOn w:val="Normal"/>
    <w:qFormat/>
    <w:pPr>
      <w:keepNext/>
      <w:spacing w:before="120" w:after="6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