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Fiche descriptive complète pour un orgue</w:t>
      </w:r>
      <w:r>
        <w:fldChar w:fldCharType="end"/>
      </w:r>
    </w:p>
    <w:p>
      <w:pPr>
        <w:pStyle w:val="OrgTitle"/>
        <w:rPr/>
      </w:pPr>
      <w:r>
        <w:rPr/>
      </w:r>
    </w:p>
    <w:p>
      <w:pPr>
        <w:pStyle w:val="OrgSubtitle"/>
        <w:rPr/>
      </w:pPr>
      <w:r>
        <w:rPr/>
        <w:fldChar w:fldCharType="begin"/>
      </w:r>
      <w:r>
        <w:instrText> AUTHOR </w:instrText>
      </w:r>
      <w:r>
        <w:fldChar w:fldCharType="separate"/>
      </w:r>
      <w:r>
        <w:t>Bastien Guerry</w:t>
      </w:r>
      <w:r>
        <w:fldChar w:fldCharType="end"/>
      </w:r>
    </w:p>
    <w:p>
      <w:pPr>
        <w:pStyle w:val="OrgSubtitle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</w:tblPr>
      <w:tblGrid>
        <w:gridCol w:w="4767"/>
        <w:gridCol w:w="2666"/>
        <w:gridCol w:w="1819"/>
      </w:tblGrid>
      <w:tr>
        <w:trPr>
          <w:tblHeader w:val="true"/>
        </w:trPr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left"/>
              <w:rPr/>
            </w:pPr>
            <w:r>
              <w:rPr>
                <w:rStyle w:val="Bold"/>
                <w:color w:val="800000"/>
              </w:rPr>
              <w:t>Propriétés générales de l'orgue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rPr>
                <w:color w:val="800000"/>
              </w:rPr>
            </w:pPr>
            <w:r>
              <w:rPr>
                <w:color w:val="800000"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rPr>
                <w:color w:val="800000"/>
              </w:rPr>
            </w:pPr>
            <w:r>
              <w:rPr>
                <w:color w:val="800000"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Auteur</w:t>
            </w:r>
          </w:p>
        </w:tc>
        <w:tc>
          <w:tcPr>
            <w:tcW w:w="26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AUTR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Appellations (par ex: "grand orgue", cf. thesaurus)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TICO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Appréciation générale sur l'état (ETAT)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 ?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ETAT ?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État (jouable, etc.)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 ?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Lexique existant ?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Référence/lien dans Palissy (REF)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REF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Affectataire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Facteur assurant l'entretien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Procédure et conditions d'accès à l'instrument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Propriétaire (ou statut (STAT) ?)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 ?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STAT ?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Observations (OBS)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Inscription/classement MH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Intérêt (INTE)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Thesaurus ?</w:t>
            </w:r>
          </w:p>
        </w:tc>
      </w:tr>
      <w:tr>
        <w:trPr/>
        <w:tc>
          <w:tcPr>
            <w:tcW w:w="476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Date notice (Palissy/Gertrude) par contributeur (DMIS/DMAJ/PERS)</w:t>
            </w:r>
          </w:p>
        </w:tc>
        <w:tc>
          <w:tcPr>
            <w:tcW w:w="266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Date</w:t>
            </w:r>
          </w:p>
        </w:tc>
        <w:tc>
          <w:tcPr>
            <w:tcW w:w="181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>
                <w:rStyle w:val="Bold"/>
                <w:b/>
                <w:bCs/>
                <w:color w:val="000000"/>
              </w:rPr>
              <w:t>Description des composants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Accessoires</w:t>
            </w:r>
          </w:p>
        </w:tc>
        <w:tc>
          <w:tcPr>
            <w:tcW w:w="26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Accouplements et tirasses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Alimentation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Boîte expressive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Combinateur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Claviers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Console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Diapason et température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Meuble de console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Pédalier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Sommiers I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Sommiers II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Sommiers III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Sommiers IV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Sommiers V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Sommiers pédale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Soufflerie / pressions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Tempérament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Vocabulaire orgue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Transmission des notes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Vocabulaire orgue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Transmission des jeux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Vocabulaire orgue</w:t>
            </w:r>
          </w:p>
        </w:tc>
      </w:tr>
      <w:tr>
        <w:trPr/>
        <w:tc>
          <w:tcPr>
            <w:tcW w:w="476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Tuyauterie</w:t>
            </w:r>
          </w:p>
        </w:tc>
        <w:tc>
          <w:tcPr>
            <w:tcW w:w="266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>
                <w:rStyle w:val="Bold"/>
                <w:b/>
                <w:bCs/>
                <w:color w:val="000000"/>
              </w:rPr>
              <w:t>Claviers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Nom</w:t>
            </w:r>
          </w:p>
        </w:tc>
        <w:tc>
          <w:tcPr>
            <w:tcW w:w="26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Chaîne de caractère</w:t>
            </w:r>
          </w:p>
        </w:tc>
        <w:tc>
          <w:tcPr>
            <w:tcW w:w="181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Lexique des claviers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Inscription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Aucun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Nombre de touches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Nombre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Aucun</w:t>
            </w:r>
          </w:p>
        </w:tc>
      </w:tr>
      <w:tr>
        <w:trPr/>
        <w:tc>
          <w:tcPr>
            <w:tcW w:w="476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Commentaire</w:t>
            </w:r>
          </w:p>
        </w:tc>
        <w:tc>
          <w:tcPr>
            <w:tcW w:w="266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Aucun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>
                <w:rStyle w:val="Bold"/>
                <w:b/>
                <w:bCs/>
              </w:rPr>
              <w:t>Jeux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Nom</w:t>
            </w:r>
          </w:p>
        </w:tc>
        <w:tc>
          <w:tcPr>
            <w:tcW w:w="26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Chaîne de caractère</w:t>
            </w:r>
          </w:p>
        </w:tc>
        <w:tc>
          <w:tcPr>
            <w:tcW w:w="181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Lexique des jeux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Inscription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Aucun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Hauteur / Tessiture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Aucun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Première / dernière note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XX / XX avec mini 1 et maxi 73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Rangs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Clavier associé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Clavier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Lexique des claviers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Matériaux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Commentaire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Aucun</w:t>
            </w:r>
          </w:p>
        </w:tc>
      </w:tr>
      <w:tr>
        <w:trPr/>
        <w:tc>
          <w:tcPr>
            <w:tcW w:w="476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Accessoires</w:t>
            </w:r>
          </w:p>
        </w:tc>
        <w:tc>
          <w:tcPr>
            <w:tcW w:w="266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>
                <w:rStyle w:val="Bold"/>
                <w:b/>
                <w:bCs/>
              </w:rPr>
              <w:t>Historique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Événement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>
                <w:rStyle w:val="Bold"/>
                <w:b/>
                <w:bCs/>
              </w:rPr>
              <w:t>Données extérieures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Archives (paroissiales, diocésaines, associatives, etc.)</w:t>
            </w:r>
          </w:p>
        </w:tc>
        <w:tc>
          <w:tcPr>
            <w:tcW w:w="26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Bibliographie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rPr/>
            </w:pPr>
            <w:bookmarkStart w:id="0" w:name="__DdeLink__1512_34997516"/>
            <w:bookmarkEnd w:id="0"/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Vidéo (+ auteur, licence, description)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rPr/>
            </w:pPr>
            <w:r>
              <w:rPr/>
              <w:t>Fichier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Audio (+ auteur, licence, description)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rPr/>
            </w:pPr>
            <w:r>
              <w:rPr/>
              <w:t>Fichier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Photo (+ auteur, licence, description)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rPr/>
            </w:pPr>
            <w:r>
              <w:rPr/>
              <w:t>Fichier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Discographie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Documentation</w:t>
            </w:r>
          </w:p>
        </w:tc>
        <w:tc>
          <w:tcPr>
            <w:tcW w:w="266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>
                <w:rStyle w:val="Bold"/>
                <w:b/>
                <w:bCs/>
              </w:rPr>
              <w:t>Buffet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Description (DESC)</w:t>
            </w:r>
          </w:p>
        </w:tc>
        <w:tc>
          <w:tcPr>
            <w:tcW w:w="26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Décor (REPR)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Inscriptions (INSC)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Auteur(s) (AUTR)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Historique (DATE)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Date structurée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Matériau (MATR)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Matériaux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État (ETAT)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État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Inscription/classement MH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Référence/lien dans Palissy (REF)</w:t>
            </w:r>
          </w:p>
        </w:tc>
        <w:tc>
          <w:tcPr>
            <w:tcW w:w="266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REF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>
                <w:rStyle w:val="Bold"/>
                <w:b/>
                <w:bCs/>
              </w:rPr>
              <w:t>Édifice contenant l'orgue</w:t>
            </w:r>
          </w:p>
        </w:tc>
        <w:tc>
          <w:tcPr>
            <w:tcW w:w="266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Lexique associé</w:t>
            </w:r>
          </w:p>
        </w:tc>
      </w:tr>
      <w:tr>
        <w:trPr/>
        <w:tc>
          <w:tcPr>
            <w:tcW w:w="47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Localisation (Adresse postal, coordonnées GPS)</w:t>
            </w:r>
          </w:p>
        </w:tc>
        <w:tc>
          <w:tcPr>
            <w:tcW w:w="26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Titre courant (Dénomination/Genre/Appellation/Titre)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Propriétaire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Protection MH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Protection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Référence/lien dans Mérimée (REFA)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Structuré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REFA</w:t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Localisation de l'instrument dans l'édifice et accès à l'instrument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Nombre de places assises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Nombre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6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Acoustique de l'édifice</w:t>
            </w:r>
          </w:p>
        </w:tc>
        <w:tc>
          <w:tcPr>
            <w:tcW w:w="266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Texte libre</w:t>
            </w:r>
          </w:p>
        </w:tc>
        <w:tc>
          <w:tcPr>
            <w:tcW w:w="181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left"/>
              <w:rPr/>
            </w:pPr>
            <w:r>
              <w:rPr/>
              <w:t>?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</w:sectPr>
      </w:pPr>
    </w:p>
    <w:sectPr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re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re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re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re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Titre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Titre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Accentuation">
    <w:name w:val="Accentuation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Textesource">
    <w:name w:val="Texte source"/>
    <w:qFormat/>
    <w:rPr>
      <w:rFonts w:ascii="Courier New" w:hAnsi="Courier New" w:eastAsia="NSimSun" w:cs="Courier New"/>
    </w:rPr>
  </w:style>
  <w:style w:type="character" w:styleId="Citation">
    <w:name w:val="Citation"/>
    <w:qFormat/>
    <w:rPr>
      <w:i/>
      <w:iCs/>
    </w:rPr>
  </w:style>
  <w:style w:type="character" w:styleId="Exemple">
    <w:name w:val="Exemple"/>
    <w:qFormat/>
    <w:rPr>
      <w:rFonts w:ascii="Courier New" w:hAnsi="Courier New" w:eastAsia="NSimSun" w:cs="Courier New"/>
    </w:rPr>
  </w:style>
  <w:style w:type="character" w:styleId="OrgCode">
    <w:name w:val="OrgCode"/>
    <w:basedOn w:val="Textesource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Caractresdenumrotation">
    <w:name w:val="Caractères de numérotation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Titre">
    <w:name w:val="Titre"/>
    <w:basedOn w:val="Normal"/>
    <w:next w:val="Corpsdetexte"/>
    <w:qFormat/>
    <w:pPr>
      <w:keepNext/>
      <w:tabs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Titre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Titre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Titre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Titre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Titre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Titre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Titre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Titre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Titre9"/>
    <w:qFormat/>
    <w:pPr>
      <w:numPr>
        <w:ilvl w:val="0"/>
        <w:numId w:val="0"/>
      </w:numPr>
    </w:pPr>
    <w:rPr/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Titre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Titre1"/>
    <w:qFormat/>
    <w:pPr>
      <w:numPr>
        <w:ilvl w:val="0"/>
        <w:numId w:val="0"/>
      </w:numPr>
      <w:jc w:val="center"/>
    </w:pPr>
    <w:rPr/>
  </w:style>
  <w:style w:type="paragraph" w:styleId="Titreprincipal">
    <w:name w:val="Title"/>
    <w:basedOn w:val="Titre"/>
    <w:next w:val="Soustitr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reprincipal"/>
    <w:qFormat/>
    <w:pPr>
      <w:spacing w:before="0" w:after="0"/>
    </w:pPr>
    <w:rPr>
      <w:sz w:val="48"/>
    </w:rPr>
  </w:style>
  <w:style w:type="paragraph" w:styleId="Soustitre">
    <w:name w:val="Subtitle"/>
    <w:basedOn w:val="Titre"/>
    <w:next w:val="Corpsdetexte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oustitre"/>
    <w:qFormat/>
    <w:pPr>
      <w:spacing w:before="0" w:after="0"/>
    </w:pPr>
    <w:rPr>
      <w:sz w:val="40"/>
    </w:rPr>
  </w:style>
  <w:style w:type="paragraph" w:styleId="Retraitdecorpsdetexte">
    <w:name w:val="Body Text Indent"/>
    <w:basedOn w:val="Corpsdetexte"/>
    <w:pPr>
      <w:ind w:left="283" w:right="0" w:hanging="0"/>
    </w:pPr>
    <w:rPr/>
  </w:style>
  <w:style w:type="paragraph" w:styleId="Retraitdeliste">
    <w:name w:val="Retrait de liste"/>
    <w:basedOn w:val="Corpsdetexte"/>
    <w:qFormat/>
    <w:pPr>
      <w:tabs>
        <w:tab w:val="left" w:pos="0" w:leader="none"/>
      </w:tabs>
      <w:ind w:left="2835" w:right="0" w:hanging="2551"/>
    </w:pPr>
    <w:rPr/>
  </w:style>
  <w:style w:type="paragraph" w:styleId="Retraitdepremireligne">
    <w:name w:val="Body Text First Indent"/>
    <w:basedOn w:val="Corpsdetexte"/>
    <w:pPr>
      <w:ind w:left="0" w:right="0" w:firstLine="283"/>
    </w:pPr>
    <w:rPr/>
  </w:style>
  <w:style w:type="paragraph" w:styleId="Alinangatif">
    <w:name w:val="Alinéa négatif"/>
    <w:basedOn w:val="Corpsdetexte"/>
    <w:qFormat/>
    <w:pPr>
      <w:tabs>
        <w:tab w:val="left" w:pos="0" w:leader="none"/>
      </w:tabs>
      <w:ind w:left="567" w:right="0" w:hanging="283"/>
    </w:pPr>
    <w:rPr/>
  </w:style>
  <w:style w:type="paragraph" w:styleId="Formulefinale">
    <w:name w:val="Salutation"/>
    <w:basedOn w:val="Normal"/>
    <w:pPr>
      <w:suppressLineNumbers/>
    </w:pPr>
    <w:rPr/>
  </w:style>
  <w:style w:type="paragraph" w:styleId="Titredetabledesmatires">
    <w:name w:val="TOA Heading"/>
    <w:basedOn w:val="Titre"/>
    <w:pPr>
      <w:suppressLineNumbers/>
      <w:ind w:left="0" w:righ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Tabledesmatiresniveau2">
    <w:name w:val="TOC 2"/>
    <w:basedOn w:val="Index"/>
    <w:pPr>
      <w:tabs>
        <w:tab w:val="right" w:pos="9355" w:leader="dot"/>
      </w:tabs>
      <w:ind w:left="283" w:right="0" w:hanging="0"/>
    </w:pPr>
    <w:rPr/>
  </w:style>
  <w:style w:type="paragraph" w:styleId="Tabledesmatiresniveau3">
    <w:name w:val="TOC 3"/>
    <w:basedOn w:val="Index"/>
    <w:pPr>
      <w:tabs>
        <w:tab w:val="right" w:pos="9072" w:leader="dot"/>
      </w:tabs>
      <w:ind w:left="566" w:right="0" w:hanging="0"/>
    </w:pPr>
    <w:rPr/>
  </w:style>
  <w:style w:type="paragraph" w:styleId="Tabledesmatiresniveau4">
    <w:name w:val="TOC 4"/>
    <w:basedOn w:val="Index"/>
    <w:pPr>
      <w:tabs>
        <w:tab w:val="right" w:pos="8789" w:leader="dot"/>
      </w:tabs>
      <w:ind w:left="849" w:right="0" w:hanging="0"/>
    </w:pPr>
    <w:rPr/>
  </w:style>
  <w:style w:type="paragraph" w:styleId="Tabledesmatiresniveau5">
    <w:name w:val="TOC 5"/>
    <w:basedOn w:val="Index"/>
    <w:pPr>
      <w:tabs>
        <w:tab w:val="right" w:pos="8506" w:leader="dot"/>
      </w:tabs>
      <w:ind w:left="1132" w:right="0" w:hanging="0"/>
    </w:pPr>
    <w:rPr/>
  </w:style>
  <w:style w:type="paragraph" w:styleId="Tabledesmatiresniveau6">
    <w:name w:val="TOC 6"/>
    <w:basedOn w:val="Index"/>
    <w:pPr>
      <w:tabs>
        <w:tab w:val="right" w:pos="8223" w:leader="dot"/>
      </w:tabs>
      <w:ind w:left="1415" w:right="0" w:hanging="0"/>
    </w:pPr>
    <w:rPr/>
  </w:style>
  <w:style w:type="paragraph" w:styleId="Tabledesmatiresniveau7">
    <w:name w:val="TOC 7"/>
    <w:basedOn w:val="Index"/>
    <w:pPr>
      <w:tabs>
        <w:tab w:val="right" w:pos="7940" w:leader="dot"/>
      </w:tabs>
      <w:ind w:left="1698" w:right="0" w:hanging="0"/>
    </w:pPr>
    <w:rPr/>
  </w:style>
  <w:style w:type="paragraph" w:styleId="Tabledesmatiresniveau8">
    <w:name w:val="TOC 8"/>
    <w:basedOn w:val="Index"/>
    <w:pPr>
      <w:tabs>
        <w:tab w:val="right" w:pos="7657" w:leader="dot"/>
      </w:tabs>
      <w:ind w:left="1981" w:right="0" w:hanging="0"/>
    </w:pPr>
    <w:rPr/>
  </w:style>
  <w:style w:type="paragraph" w:styleId="Tabledesmatiresniveau9">
    <w:name w:val="TOC 9"/>
    <w:basedOn w:val="Index"/>
    <w:pPr>
      <w:tabs>
        <w:tab w:val="right" w:pos="7374" w:leader="dot"/>
      </w:tabs>
      <w:ind w:left="2264" w:right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Notedebasdepage"/>
    <w:qFormat/>
    <w:pPr>
      <w:spacing w:before="0" w:after="283"/>
      <w:ind w:left="567" w:right="567" w:hanging="0"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Texteprformat"/>
    <w:qFormat/>
    <w:pPr>
      <w:pBdr/>
    </w:pPr>
    <w:rPr/>
  </w:style>
  <w:style w:type="paragraph" w:styleId="OrgClock">
    <w:name w:val="OrgClock"/>
    <w:basedOn w:val="Corpsdetexte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Corpsdetexte"/>
    <w:qFormat/>
    <w:pPr/>
    <w:rPr/>
  </w:style>
  <w:style w:type="paragraph" w:styleId="OrgFixedWidthBlock">
    <w:name w:val="OrgFixedWidthBlock"/>
    <w:basedOn w:val="Texteprforma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Corpsdetexte"/>
    <w:qFormat/>
    <w:pPr>
      <w:tabs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OrgCenter">
    <w:name w:val="OrgCenter"/>
    <w:basedOn w:val="Corpsdetexte"/>
    <w:qFormat/>
    <w:pPr>
      <w:jc w:val="center"/>
    </w:pPr>
    <w:rPr/>
  </w:style>
  <w:style w:type="paragraph" w:styleId="OrgFootnoteCenter">
    <w:name w:val="OrgFootnoteCenter"/>
    <w:basedOn w:val="Notedebasdepage"/>
    <w:qFormat/>
    <w:pPr>
      <w:jc w:val="center"/>
    </w:pPr>
    <w:rPr/>
  </w:style>
  <w:style w:type="paragraph" w:styleId="OrgTableContents">
    <w:name w:val="OrgTableContents"/>
    <w:basedOn w:val="Corpsdetexte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Corpsdetexte"/>
    <w:next w:val="Corpsdetexte"/>
    <w:qFormat/>
    <w:pPr/>
    <w:rPr>
      <w:b/>
    </w:rPr>
  </w:style>
  <w:style w:type="paragraph" w:styleId="Notedebasdepag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Lgende"/>
    <w:qFormat/>
    <w:pPr/>
    <w:rPr/>
  </w:style>
  <w:style w:type="paragraph" w:styleId="Titredelindexdesillustrations">
    <w:name w:val="Titre de l'index des illustrations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au">
    <w:name w:val="Tableau"/>
    <w:basedOn w:val="Lgende"/>
    <w:qFormat/>
    <w:pPr>
      <w:jc w:val="center"/>
    </w:pPr>
    <w:rPr/>
  </w:style>
  <w:style w:type="paragraph" w:styleId="Listing">
    <w:name w:val="Listing"/>
    <w:basedOn w:val="Lgende"/>
    <w:qFormat/>
    <w:pPr>
      <w:keepNext/>
      <w:ind w:left="0" w:right="0" w:hanging="0"/>
    </w:pPr>
    <w:rPr/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Lgende"/>
    <w:next w:val="Corpsdetexte"/>
    <w:qFormat/>
    <w:pPr/>
    <w:rPr>
      <w:b/>
      <w:i w:val="false"/>
    </w:rPr>
  </w:style>
  <w:style w:type="paragraph" w:styleId="Pieddepage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umrotation1">
    <w:name w:val="Numérotation 1"/>
    <w:qFormat/>
  </w:style>
  <w:style w:type="numbering" w:styleId="Puce1">
    <w:name w:val="Puce 1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 LibreOffice_project/10m0$Build-2</Application>
  <Pages>4</Pages>
  <Words>425</Words>
  <Characters>2691</Characters>
  <CharactersWithSpaces>2916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2017-07-10T18:41:21Z</dcterms:created>
  <dc:creator>Bastien Guerry</dc:creator>
  <dc:description/>
  <cp:keywords/>
  <dc:language>fr-FR</dc:language>
  <cp:lastModifiedBy/>
  <dcterms:modified xsi:type="dcterms:W3CDTF">2017-07-10T18:44:14Z</dcterms:modified>
  <cp:revision>2</cp:revision>
  <dc:subject/>
  <dc:title>Fiche descriptive complète pour un orgue</dc:title>
</cp:coreProperties>
</file>