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30"/>
      </w:pPr>
      <w:r>
        <w:rPr>
          <w:b/>
          <w:sz w:val="28"/>
          <w:color w:val="0F172A"/>
        </w:rPr>
        <w:t>PRESUPUESTO TÉCNICO-COMERCIAL</w:t>
      </w:r>
    </w:p>
    <w:p>
      <w:pPr>
        <w:jc w:val="center"/>
        <w:spacing w:after="120"/>
      </w:pPr>
      <w:r>
        <w:rPr>
          <w:b/>
          <w:sz w:val="21"/>
          <w:color w:val="0284C7"/>
        </w:rPr>
        <w:t>SISTEMA SOLAR FOTOVOLTAICO ON-GRID 10 kW (10,44 kWp)</w:t>
      </w:r>
    </w:p>
    <w:tbl>
      <w:tblPr>
        <w:tblW w:w="9600" w:type="dxa"/>
        <w:tblBorders>
          <w:top w:val="single" w:sz="6" w:space="0" w:color="CBD5E1"/>
          <w:bottom w:val="single" w:sz="6" w:space="0" w:color="CBD5E1"/>
          <w:left w:val="none"/>
          <w:right w:val="none"/>
          <w:insideH w:val="none"/>
          <w:insideV w:val="none"/>
        </w:tblBorders>
        <w:tblCellMar>
          <w:top w:w="60" w:type="dxa"/>
          <w:bottom w:w="60" w:type="dxa"/>
          <w:left w:w="100" w:type="dxa"/>
          <w:right w:w="100" w:type="dxa"/>
        </w:tblCellMar>
      </w:tblPr>
      <w:tr>
        <w:tc>
          <w:tcPr>
            <w:tcW w:w="4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8"/>
                <w:color w:val="0F172A"/>
              </w:rPr>
              <w:t>Cliente: </w:t>
            </w:r>
            <w:r>
              <w:rPr>
                <w:sz w:val="18"/>
              </w:rPr>
              <w:t>SFERCO | Córdoba</w:t>
            </w:r>
          </w:p>
        </w:tc>
        <w:tc>
          <w:tcPr>
            <w:tcW w:w="4800" w:type="dxa"/>
            <w:shd w:val="clear" w:color="auto" w:fill="F8FAFC"/>
          </w:tcPr>
          <w:p>
            <w:pPr>
              <w:jc w:val="right"/>
              <w:spacing w:after="0"/>
            </w:pPr>
            <w:r>
              <w:rPr>
                <w:b/>
                <w:sz w:val="18"/>
                <w:color w:val="0F172A"/>
              </w:rPr>
              <w:t>Fecha: </w:t>
            </w:r>
            <w:r>
              <w:rPr>
                <w:sz w:val="18"/>
              </w:rPr>
              <w:t>14/10/2026 | TC BNA Billete Venta: $1,535.00</w:t>
            </w:r>
          </w:p>
        </w:tc>
      </w:tr>
    </w:tbl>
    <w:p>
      <w:pPr>
        <w:spacing w:before="140" w:after="50"/>
        <w:pBdr>
          <w:bottom w:val="single" w:sz="8" w:space="3" w:color="0284C7"/>
        </w:pBdr>
      </w:pPr>
      <w:r>
        <w:rPr>
          <w:b/>
          <w:sz w:val="21"/>
          <w:color w:val="0F172A"/>
        </w:rPr>
        <w:t>1. ALCANCE DE LAS TAREAS</w:t>
      </w:r>
    </w:p>
    <w:p>
      <w:pPr>
        <w:spacing w:after="60"/>
        <w:jc w:val="both"/>
      </w:pPr>
      <w:r>
        <w:rPr>
          <w:sz w:val="18"/>
          <w:color w:val="334155"/>
        </w:rPr>
        <w:t>Provisión de equipamiento, montaje electromecánico en cubierta, conexionado DC/AC, protecciones, ingeniería de detalle, ensayos y gestión completa de habilitación para un Sistema Solar Fotovoltaico On-Grid Trifásico de 10 kW (10,44 kWp en campo generador):</w:t>
      </w:r>
    </w:p>
    <w:p>
      <w:pPr>
        <w:spacing w:after="30"/>
        <w:ind w:left="200"/>
        <w:jc w:val="both"/>
      </w:pPr>
      <w:r>
        <w:rPr>
          <w:b/>
          <w:sz w:val="18"/>
          <w:color w:val="0F172A"/>
        </w:rPr>
        <w:t>• Campo Fotovoltaico (10,44 kWp): </w:t>
      </w:r>
      <w:r>
        <w:rPr>
          <w:sz w:val="18"/>
        </w:rPr>
        <w:t>18 paneles monocristalinos TOPCon N-Type Amerisolar 580 Wp (144 celdas) sobre 5 kits de estructuras de aluminio anodizado ISECOM con anclaje estanco a cubierta.</w:t>
      </w:r>
    </w:p>
    <w:p>
      <w:pPr>
        <w:spacing w:after="30"/>
        <w:ind w:left="200"/>
        <w:jc w:val="both"/>
      </w:pPr>
      <w:r>
        <w:rPr>
          <w:b/>
          <w:sz w:val="18"/>
          <w:color w:val="0F172A"/>
        </w:rPr>
        <w:t>• Inversor y Conversión Trifásica: </w:t>
      </w:r>
      <w:r>
        <w:rPr>
          <w:sz w:val="18"/>
        </w:rPr>
        <w:t>1 Inversor On-Grid GoodWe GW10-SDT-30 de 10 kW con 2 MPPT, protección de arco (AFCI), envolvente IP66, antena Wi-Fi integrada y 10 años de garantía oficial.</w:t>
      </w:r>
    </w:p>
    <w:p>
      <w:pPr>
        <w:spacing w:after="30"/>
        <w:ind w:left="200"/>
        <w:jc w:val="both"/>
      </w:pPr>
      <w:r>
        <w:rPr>
          <w:b/>
          <w:sz w:val="18"/>
          <w:color w:val="0F172A"/>
        </w:rPr>
        <w:t>• Cuadros y Cableado DC/AC: </w:t>
      </w:r>
      <w:r>
        <w:rPr>
          <w:sz w:val="18"/>
        </w:rPr>
        <w:t>120 m cable solar Amphenol 4/6 mm² (PV 1.8 kV UV), conectores MC4 IP68, 2 Cajas de Combinación DC Suntree IP65 (fusibles/SPD) y protector AC tetrapolar Suntree 385V 20-40kA.</w:t>
      </w:r>
    </w:p>
    <w:p>
      <w:pPr>
        <w:spacing w:after="60"/>
        <w:ind w:left="200"/>
        <w:jc w:val="both"/>
      </w:pPr>
      <w:r>
        <w:rPr>
          <w:b/>
          <w:sz w:val="18"/>
          <w:color w:val="0F172A"/>
        </w:rPr>
        <w:t>• Ingeniería, Certificación y Trámites: </w:t>
      </w:r>
      <w:r>
        <w:rPr>
          <w:sz w:val="18"/>
        </w:rPr>
        <w:t>Planos y unifilar con firma matriculada, medición de puesta a tierra con protocolo oficial, tramitación de Usuario-Generador ante EPEC (Ley 27.424), medidor bidireccional y puesta en marcha.</w:t>
      </w:r>
    </w:p>
    <w:p>
      <w:pPr>
        <w:spacing w:before="120" w:after="60"/>
        <w:pBdr>
          <w:bottom w:val="single" w:sz="8" w:space="3" w:color="0284C7"/>
        </w:pBdr>
      </w:pPr>
      <w:r>
        <w:rPr>
          <w:b/>
          <w:sz w:val="21"/>
          <w:color w:val="0F172A"/>
        </w:rPr>
        <w:t>2. RESUMEN ECONÓMICO DE LA INVERSIÓN</w:t>
      </w:r>
    </w:p>
    <w:tbl>
      <w:tblPr>
        <w:tblW w:w="9600" w:type="dxa"/>
        <w:tblBorders>
          <w:top w:val="single" w:sz="6" w:space="0" w:color="94A3B8"/>
          <w:bottom w:val="single" w:sz="6" w:space="0" w:color="94A3B8"/>
          <w:left w:val="none"/>
          <w:right w:val="none"/>
          <w:insideH w:val="single" w:sz="4" w:space="0" w:color="E2E8F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r>
        <w:trPr>
          <w:tblHeader/>
          <w:cantSplit/>
        </w:trPr>
        <w:tc>
          <w:tcPr>
            <w:tcW w:w="2200" w:type="dxa"/>
            <w:shd w:val="clear" w:color="auto" w:fill="0F172A"/>
          </w:tcPr>
          <w:p>
            <w:pPr>
              <w:spacing w:after="0"/>
            </w:pPr>
            <w:r>
              <w:rPr>
                <w:b/>
                <w:sz w:val="17"/>
                <w:color w:val="FFFFFF"/>
              </w:rPr>
              <w:t>Rubro / Concepto</w:t>
            </w:r>
          </w:p>
        </w:tc>
        <w:tc>
          <w:tcPr>
            <w:tcW w:w="3600" w:type="dxa"/>
            <w:shd w:val="clear" w:color="auto" w:fill="0F172A"/>
          </w:tcPr>
          <w:p>
            <w:pPr>
              <w:spacing w:after="0"/>
            </w:pPr>
            <w:r>
              <w:rPr>
                <w:b/>
                <w:sz w:val="17"/>
                <w:color w:val="FFFFFF"/>
              </w:rPr>
              <w:t>Alcance Técnico</w:t>
            </w:r>
          </w:p>
        </w:tc>
        <w:tc>
          <w:tcPr>
            <w:tcW w:w="1800" w:type="dxa"/>
            <w:shd w:val="clear" w:color="auto" w:fill="0F172A"/>
          </w:tcPr>
          <w:p>
            <w:pPr>
              <w:jc w:val="right"/>
              <w:spacing w:after="0"/>
            </w:pPr>
            <w:r>
              <w:rPr>
                <w:b/>
                <w:sz w:val="17"/>
                <w:color w:val="FFFFFF"/>
              </w:rPr>
              <w:t>Equivalente en Pesos</w:t>
            </w:r>
          </w:p>
        </w:tc>
        <w:tc>
          <w:tcPr>
            <w:tcW w:w="2000" w:type="dxa"/>
            <w:shd w:val="clear" w:color="auto" w:fill="0F172A"/>
          </w:tcPr>
          <w:p>
            <w:pPr>
              <w:jc w:val="right"/>
              <w:spacing w:after="0"/>
            </w:pPr>
            <w:r>
              <w:rPr>
                <w:b/>
                <w:sz w:val="17"/>
                <w:color w:val="FFFFFF"/>
              </w:rPr>
              <w:t>Equivalente en Dólares</w:t>
            </w:r>
          </w:p>
        </w:tc>
      </w:tr>
      <!-- Fila 1: Materiales --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sz w:val="18"/>
                <w:color w:val="0F172A"/>
              </w:rPr>
              <w:t>Materiales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after="0"/>
            </w:pPr>
            <w:r>
              <w:rPr>
                <w:sz w:val="17"/>
                <w:color w:val="334155"/>
              </w:rPr>
              <w:t>18 Paneles 580Wp (10,44 kWp), Inversor GoodWe 10kW, cajas DC, cables y estructuras.</w:t>
            </w:r>
          </w:p>
        </w:tc>
        <w:tc>
          <w:tcPr>
            <w:tcW w:w="1800" w:type="dxa"/>
            <w:shd w:val="clear" w:color="auto" w:fill="FFFFFF"/>
          </w:tcPr>
          <w:p>
            <w:pPr>
              <w:jc w:val="right"/>
              <w:spacing w:after="0"/>
            </w:pPr>
            <w:r>
              <w:rPr>
                <w:sz w:val="18"/>
                <w:color w:val="334155"/>
              </w:rPr>
              <w:t>$8,442,500.00</w:t>
            </w:r>
          </w:p>
        </w:tc>
        <w:tc>
          <w:tcPr>
            <w:tcW w:w="2000" w:type="dxa"/>
            <w:shd w:val="clear" w:color="auto" w:fill="FFFFFF"/>
          </w:tcPr>
          <w:p>
            <w:pPr>
              <w:jc w:val="right"/>
              <w:spacing w:after="0"/>
            </w:pPr>
            <w:r>
              <w:rPr>
                <w:b/>
                <w:sz w:val="18"/>
                <w:color w:val="0284C7"/>
              </w:rPr>
              <w:t>USD 5,500.00</w:t>
            </w:r>
          </w:p>
        </w:tc>
      </w:tr>
      <!-- Fila 2: Mano de Obra e Ingenieria -->
      <w:tr>
        <w:trPr>
          <w:cantSplit/>
        </w:trPr>
        <w:tc>
          <w:tcPr>
            <w:tcW w:w="22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8"/>
                <w:color w:val="0F172A"/>
              </w:rPr>
              <w:t>Mano de Obra, Ing. y Certificación</w:t>
            </w:r>
          </w:p>
        </w:tc>
        <w:tc>
          <w:tcPr>
            <w:tcW w:w="3600" w:type="dxa"/>
            <w:shd w:val="clear" w:color="auto" w:fill="F8FAFC"/>
          </w:tcPr>
          <w:p>
            <w:pPr>
              <w:spacing w:after="0"/>
            </w:pPr>
            <w:r>
              <w:rPr>
                <w:sz w:val="17"/>
                <w:color w:val="334155"/>
              </w:rPr>
              <w:t>Montaje de techo, conexionado DC/AC, protocolos PAT, planos firmados y trámite EPEC.</w:t>
            </w:r>
          </w:p>
        </w:tc>
        <w:tc>
          <w:tcPr>
            <w:tcW w:w="1800" w:type="dxa"/>
            <w:shd w:val="clear" w:color="auto" w:fill="F8FAFC"/>
          </w:tcPr>
          <w:p>
            <w:pPr>
              <w:jc w:val="right"/>
              <w:spacing w:after="0"/>
            </w:pPr>
            <w:r>
              <w:rPr>
                <w:b/>
                <w:sz w:val="18"/>
                <w:color w:val="0284C7"/>
              </w:rPr>
              <w:t>$4,800,000.00</w:t>
            </w:r>
          </w:p>
        </w:tc>
        <w:tc>
          <w:tcPr>
            <w:tcW w:w="2000" w:type="dxa"/>
            <w:shd w:val="clear" w:color="auto" w:fill="F8FAFC"/>
          </w:tcPr>
          <w:p>
            <w:pPr>
              <w:jc w:val="right"/>
              <w:spacing w:after="0"/>
            </w:pPr>
            <w:r>
              <w:rPr>
                <w:sz w:val="18"/>
                <w:color w:val="334155"/>
              </w:rPr>
              <w:t>USD 3,127.04</w:t>
            </w:r>
          </w:p>
        </w:tc>
      </w:tr>
      <!-- Fila 3: TOTAL GENERAL -->
      <w:tr>
        <w:trPr>
          <w:cantSplit/>
        </w:trPr>
        <w:tc>
          <w:tcPr>
            <w:tcW w:w="5800" w:type="dxa"/>
            <w:gridSpan w:val="2"/>
            <w:shd w:val="clear" w:color="auto" w:fill="E0F2FE"/>
          </w:tcPr>
          <w:p>
            <w:pPr>
              <w:spacing w:after="0"/>
            </w:pPr>
            <w:r>
              <w:rPr>
                <w:b/>
                <w:sz w:val="19"/>
                <w:color w:val="0369A1"/>
              </w:rPr>
              <w:t>TOTAL GENERAL PRESUPUESTADO (Sin IVA)</w:t>
            </w:r>
          </w:p>
        </w:tc>
        <w:tc>
          <w:tcPr>
            <w:tcW w:w="1800" w:type="dxa"/>
            <w:shd w:val="clear" w:color="auto" w:fill="E0F2FE"/>
          </w:tcPr>
          <w:p>
            <w:pPr>
              <w:jc w:val="right"/>
              <w:spacing w:after="0"/>
            </w:pPr>
            <w:r>
              <w:rPr>
                <w:b/>
                <w:sz w:val="20"/>
                <w:color w:val="0369A1"/>
              </w:rPr>
              <w:t>$13,242,500.00</w:t>
            </w:r>
          </w:p>
        </w:tc>
        <w:tc>
          <w:tcPr>
            <w:tcW w:w="2000" w:type="dxa"/>
            <w:shd w:val="clear" w:color="auto" w:fill="E0F2FE"/>
          </w:tcPr>
          <w:p>
            <w:pPr>
              <w:jc w:val="right"/>
              <w:spacing w:after="0"/>
            </w:pPr>
            <w:r>
              <w:rPr>
                <w:b/>
                <w:sz w:val="20"/>
                <w:color w:val="0369A1"/>
              </w:rPr>
              <w:t>USD 8,627.04</w:t>
            </w:r>
          </w:p>
        </w:tc>
      </w:tr>
    </w:tbl>
    <w:p>
      <w:pPr>
        <w:spacing w:before="140" w:after="50"/>
        <w:pBdr>
          <w:bottom w:val="single" w:sz="8" w:space="3" w:color="0284C7"/>
        </w:pBdr>
      </w:pPr>
      <w:r>
        <w:rPr>
          <w:b/>
          <w:sz w:val="21"/>
          <w:color w:val="0F172A"/>
        </w:rPr>
        <w:t>3. CONDICIONES COMERCIALES Y OBSERVACIONES</w:t>
      </w:r>
    </w:p>
    <w:p>
      <w:pPr>
        <w:spacing w:after="30"/>
        <w:jc w:val="both"/>
      </w:pPr>
      <w:r>
        <w:rPr>
          <w:b/>
          <w:sz w:val="17"/>
          <w:color w:val="0F172A"/>
        </w:rPr>
        <w:t>1. Cotización del Dólar BNA: </w:t>
      </w:r>
      <w:r>
        <w:rPr>
          <w:sz w:val="17"/>
          <w:color w:val="334155"/>
        </w:rPr>
        <w:t>Conversión calculada a $ 1,535.00 (Dólar Oficial Vendedor Billete Banco Nación del día). En pagos en pesos o cheques diferidos, se tomará la cotización oficial del día hábil anterior a la efectiva acreditación, ajustando diferencias en efectivo.</w:t>
      </w:r>
    </w:p>
    <w:p>
      <w:pPr>
        <w:spacing w:after="30"/>
        <w:jc w:val="both"/>
      </w:pPr>
      <w:r>
        <w:rPr>
          <w:b/>
          <w:sz w:val="17"/>
          <w:color w:val="0F172A"/>
        </w:rPr>
        <w:t>2. Fletes y Traslados: </w:t>
      </w:r>
      <w:r>
        <w:rPr>
          <w:sz w:val="17"/>
          <w:color w:val="334155"/>
        </w:rPr>
        <w:t>Los precios NO incluyen fletes, acarreos ni viáticos fuera del radio urbano de la obra (se coordinan por cuenta y orden del cliente).</w:t>
      </w:r>
    </w:p>
    <w:p>
      <w:pPr>
        <w:spacing w:after="30"/>
        <w:jc w:val="both"/>
      </w:pPr>
      <w:r>
        <w:rPr>
          <w:b/>
          <w:sz w:val="17"/>
          <w:color w:val="0F172A"/>
        </w:rPr>
        <w:t>3. Condición Impositiva: </w:t>
      </w:r>
      <w:r>
        <w:rPr>
          <w:sz w:val="17"/>
          <w:color w:val="334155"/>
        </w:rPr>
        <w:t>Valores expresados SIN IVA (10,5% en paneles solares según ley de fomento; 21% en inversor, componentes, mano de obra e ingeniería).</w:t>
      </w:r>
    </w:p>
    <w:p>
      <w:pPr>
        <w:spacing w:after="30"/>
        <w:jc w:val="both"/>
      </w:pPr>
      <w:r>
        <w:rPr>
          <w:b/>
          <w:sz w:val="17"/>
          <w:color w:val="0F172A"/>
        </w:rPr>
        <w:t>4. Pago y Validez: </w:t>
      </w:r>
      <w:r>
        <w:rPr>
          <w:sz w:val="17"/>
          <w:color w:val="334155"/>
        </w:rPr>
        <w:t>Contado (o anticipo para reserva de stock y saldo contra avance). Validez de la oferta: 5 días hábiles sujeta a stock.</w:t>
      </w:r>
    </w:p>
    <w:p>
      <w:pPr>
        <w:spacing w:after="0"/>
        <w:jc w:val="both"/>
      </w:pPr>
      <w:r>
        <w:rPr>
          <w:b/>
          <w:sz w:val="17"/>
          <w:color w:val="0F172A"/>
        </w:rPr>
        <w:t>5. Requisitos del Cliente: </w:t>
      </w:r>
      <w:r>
        <w:rPr>
          <w:sz w:val="17"/>
          <w:color w:val="334155"/>
        </w:rPr>
        <w:t>Acometida trifásica normalizada y jabalina de puesta a tierra reglamentaria en el predio.</w:t>
      </w:r>
    </w:p>
    <w:sectPr>
      <w:pgSz w:w="11906" w:h="16838"/>
      <w:pgMar w:top="850" w:right="950" w:bottom="850" w:left="950" w:header="350" w:footer="35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9"/>
        <w:szCs w:val="19"/>
        <w:color w:val="1F2937"/>
        <w:lang w:val="es-AR"/>
      </w:rPr>
    </w:rPrDefault>
    <w:pPrDefault>
      <w:pPr>
        <w:spacing w:line="230" w:lineRule="auto" w:after="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