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9AD4E">
      <w:pPr>
        <w:jc w:val="center"/>
        <w:rPr>
          <w:rFonts w:hint="default"/>
          <w:b/>
          <w:bCs/>
          <w:sz w:val="28"/>
          <w:szCs w:val="28"/>
        </w:rPr>
      </w:pPr>
    </w:p>
    <w:p w14:paraId="632DAA33">
      <w:pPr>
        <w:jc w:val="center"/>
        <w:rPr>
          <w:rFonts w:hint="default"/>
          <w:b/>
          <w:bCs/>
          <w:sz w:val="28"/>
          <w:szCs w:val="28"/>
        </w:rPr>
      </w:pPr>
    </w:p>
    <w:p w14:paraId="5DE22C28">
      <w:pPr>
        <w:jc w:val="center"/>
        <w:rPr>
          <w:rFonts w:hint="default"/>
          <w:b/>
          <w:bCs/>
          <w:sz w:val="28"/>
          <w:szCs w:val="28"/>
        </w:rPr>
      </w:pPr>
      <w:r>
        <w:drawing>
          <wp:inline distT="0" distB="0" distL="114300" distR="114300">
            <wp:extent cx="5270500" cy="3921760"/>
            <wp:effectExtent l="0" t="0" r="635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CE0F0">
      <w:pPr>
        <w:jc w:val="center"/>
        <w:rPr>
          <w:rFonts w:hint="default"/>
          <w:b/>
          <w:bCs/>
          <w:sz w:val="28"/>
          <w:szCs w:val="28"/>
        </w:rPr>
      </w:pPr>
    </w:p>
    <w:p w14:paraId="45B19928">
      <w:pPr>
        <w:jc w:val="center"/>
        <w:rPr>
          <w:rFonts w:hint="default"/>
          <w:b/>
          <w:bCs/>
          <w:sz w:val="28"/>
          <w:szCs w:val="28"/>
        </w:rPr>
      </w:pPr>
    </w:p>
    <w:p w14:paraId="27A1BEC3">
      <w:pPr>
        <w:jc w:val="center"/>
        <w:rPr>
          <w:rFonts w:hint="default"/>
          <w:b/>
          <w:bCs/>
          <w:sz w:val="28"/>
          <w:szCs w:val="28"/>
        </w:rPr>
      </w:pPr>
    </w:p>
    <w:p w14:paraId="034B7ECA">
      <w:pPr>
        <w:jc w:val="center"/>
        <w:rPr>
          <w:rFonts w:hint="default"/>
          <w:b/>
          <w:bCs/>
          <w:sz w:val="28"/>
          <w:szCs w:val="28"/>
        </w:rPr>
      </w:pPr>
    </w:p>
    <w:p w14:paraId="7CE28A88">
      <w:pPr>
        <w:jc w:val="center"/>
        <w:rPr>
          <w:rFonts w:hint="default"/>
          <w:b/>
          <w:bCs/>
          <w:sz w:val="28"/>
          <w:szCs w:val="28"/>
        </w:rPr>
      </w:pPr>
    </w:p>
    <w:p w14:paraId="4D9B7DB2">
      <w:pPr>
        <w:jc w:val="center"/>
        <w:rPr>
          <w:rFonts w:hint="default"/>
          <w:b/>
          <w:bCs/>
          <w:sz w:val="28"/>
          <w:szCs w:val="28"/>
        </w:rPr>
      </w:pPr>
    </w:p>
    <w:p w14:paraId="0CB0688C">
      <w:pPr>
        <w:jc w:val="center"/>
        <w:rPr>
          <w:rFonts w:hint="default"/>
          <w:b/>
          <w:bCs/>
          <w:sz w:val="28"/>
          <w:szCs w:val="28"/>
        </w:rPr>
      </w:pPr>
    </w:p>
    <w:p w14:paraId="1CB2FAA0">
      <w:pPr>
        <w:jc w:val="center"/>
        <w:rPr>
          <w:rFonts w:hint="default"/>
          <w:b/>
          <w:bCs/>
          <w:sz w:val="28"/>
          <w:szCs w:val="28"/>
        </w:rPr>
      </w:pPr>
    </w:p>
    <w:p w14:paraId="14307D7C">
      <w:pPr>
        <w:jc w:val="center"/>
        <w:rPr>
          <w:rFonts w:hint="default"/>
          <w:b/>
          <w:bCs/>
          <w:sz w:val="28"/>
          <w:szCs w:val="28"/>
        </w:rPr>
      </w:pPr>
    </w:p>
    <w:p w14:paraId="7AC178CA">
      <w:pPr>
        <w:jc w:val="center"/>
        <w:rPr>
          <w:rFonts w:hint="default"/>
          <w:b/>
          <w:bCs/>
          <w:sz w:val="28"/>
          <w:szCs w:val="28"/>
        </w:rPr>
      </w:pPr>
    </w:p>
    <w:p w14:paraId="5656B7AD">
      <w:pPr>
        <w:jc w:val="center"/>
        <w:rPr>
          <w:rFonts w:hint="default"/>
          <w:b/>
          <w:bCs/>
          <w:sz w:val="28"/>
          <w:szCs w:val="28"/>
        </w:rPr>
      </w:pPr>
    </w:p>
    <w:p w14:paraId="50B7E0A5">
      <w:pPr>
        <w:jc w:val="center"/>
        <w:rPr>
          <w:rFonts w:hint="default"/>
          <w:b/>
          <w:bCs/>
          <w:sz w:val="28"/>
          <w:szCs w:val="28"/>
        </w:rPr>
      </w:pPr>
    </w:p>
    <w:p w14:paraId="434490C3">
      <w:pPr>
        <w:jc w:val="center"/>
        <w:rPr>
          <w:rFonts w:hint="default"/>
          <w:b/>
          <w:bCs/>
          <w:sz w:val="28"/>
          <w:szCs w:val="28"/>
        </w:rPr>
      </w:pPr>
    </w:p>
    <w:p w14:paraId="1A2733C3">
      <w:pPr>
        <w:jc w:val="center"/>
        <w:rPr>
          <w:rFonts w:hint="default"/>
          <w:b/>
          <w:bCs/>
          <w:sz w:val="28"/>
          <w:szCs w:val="28"/>
        </w:rPr>
      </w:pPr>
    </w:p>
    <w:p w14:paraId="3261F1B4">
      <w:pPr>
        <w:jc w:val="center"/>
        <w:rPr>
          <w:rFonts w:hint="default"/>
          <w:b/>
          <w:bCs/>
          <w:sz w:val="28"/>
          <w:szCs w:val="28"/>
        </w:rPr>
      </w:pPr>
    </w:p>
    <w:p w14:paraId="70CC4B51">
      <w:pPr>
        <w:jc w:val="center"/>
        <w:rPr>
          <w:rFonts w:hint="default"/>
          <w:b/>
          <w:bCs/>
          <w:sz w:val="28"/>
          <w:szCs w:val="28"/>
        </w:rPr>
      </w:pPr>
    </w:p>
    <w:p w14:paraId="73238DEF">
      <w:pPr>
        <w:jc w:val="center"/>
        <w:rPr>
          <w:rFonts w:hint="default"/>
          <w:b/>
          <w:bCs/>
          <w:sz w:val="28"/>
          <w:szCs w:val="28"/>
        </w:rPr>
      </w:pPr>
    </w:p>
    <w:p w14:paraId="1D274503">
      <w:pPr>
        <w:jc w:val="center"/>
        <w:rPr>
          <w:rFonts w:hint="default"/>
          <w:b/>
          <w:bCs/>
          <w:sz w:val="28"/>
          <w:szCs w:val="28"/>
        </w:rPr>
      </w:pPr>
    </w:p>
    <w:p w14:paraId="575D3883">
      <w:pPr>
        <w:jc w:val="center"/>
        <w:rPr>
          <w:rFonts w:hint="default"/>
          <w:b/>
          <w:bCs/>
          <w:sz w:val="28"/>
          <w:szCs w:val="28"/>
        </w:rPr>
      </w:pPr>
    </w:p>
    <w:p w14:paraId="0ECECB77">
      <w:pPr>
        <w:jc w:val="both"/>
        <w:rPr>
          <w:rFonts w:hint="default"/>
          <w:b/>
          <w:bCs/>
          <w:sz w:val="28"/>
          <w:szCs w:val="28"/>
        </w:rPr>
      </w:pPr>
    </w:p>
    <w:p w14:paraId="50DB42A6">
      <w:pPr>
        <w:jc w:val="center"/>
        <w:rPr>
          <w:rFonts w:hint="default"/>
          <w:b/>
          <w:bCs/>
          <w:sz w:val="28"/>
          <w:szCs w:val="28"/>
        </w:rPr>
      </w:pPr>
      <w:bookmarkStart w:id="0" w:name="_GoBack"/>
      <w:bookmarkEnd w:id="0"/>
      <w:r>
        <w:rPr>
          <w:rFonts w:hint="default"/>
          <w:b/>
          <w:bCs/>
          <w:sz w:val="28"/>
          <w:szCs w:val="28"/>
        </w:rPr>
        <w:t>The Writing Process</w:t>
      </w:r>
    </w:p>
    <w:p w14:paraId="002560D6">
      <w:pPr>
        <w:jc w:val="center"/>
        <w:rPr>
          <w:rFonts w:hint="default"/>
          <w:b/>
          <w:bCs/>
          <w:sz w:val="28"/>
          <w:szCs w:val="28"/>
        </w:rPr>
      </w:pPr>
    </w:p>
    <w:p w14:paraId="5CA68E4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Writing is a process of four general steps:</w:t>
      </w:r>
      <w:r>
        <w:rPr>
          <w:rFonts w:hint="default"/>
          <w:b/>
          <w:bCs/>
          <w:sz w:val="28"/>
          <w:szCs w:val="28"/>
        </w:rPr>
        <w:t xml:space="preserve"> inventing, drafting, revising, and editing.</w:t>
      </w:r>
      <w:r>
        <w:rPr>
          <w:rFonts w:hint="default"/>
          <w:sz w:val="28"/>
          <w:szCs w:val="28"/>
        </w:rPr>
        <w:t xml:space="preserve"> You might prefer to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do the steps linearly, one after the other, or iteratively, in repeating or successive sessions. The steps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blend into each other, so putting effort into each step pays off at the end with a clear, concise, and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complete paper. The other side of this sheet defines the steps and suggests how and when to use each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step.</w:t>
      </w:r>
      <w:r>
        <w:rPr>
          <w:rFonts w:hint="default"/>
          <w:sz w:val="28"/>
          <w:szCs w:val="28"/>
        </w:rPr>
        <w:br w:type="textWrapping"/>
      </w:r>
    </w:p>
    <w:p w14:paraId="1F46901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Approximately 50% of the process consists of generating ideas and organizing them into a coherent form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(the invention and drafting steps).</w:t>
      </w:r>
    </w:p>
    <w:p w14:paraId="2DD76495">
      <w:pPr>
        <w:rPr>
          <w:rFonts w:hint="default"/>
        </w:rPr>
      </w:pPr>
      <w:r>
        <w:drawing>
          <wp:inline distT="0" distB="0" distL="114300" distR="114300">
            <wp:extent cx="2933700" cy="2886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460CB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Invention</w:t>
      </w:r>
      <w:r>
        <w:rPr>
          <w:rFonts w:hint="default" w:ascii="Calibri" w:hAnsi="Calibri" w:cs="Calibri"/>
          <w:sz w:val="28"/>
          <w:szCs w:val="28"/>
        </w:rPr>
        <w:t>, also called pre-writing or brainstorming, is the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foundation of a successful paper—without it, you’ll have nothing to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draft, revise, edit, or submit to your professor.</w:t>
      </w:r>
    </w:p>
    <w:p w14:paraId="197E1F72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Here are some different ways to invent or begin the writing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process.</w:t>
      </w:r>
    </w:p>
    <w:p w14:paraId="764EF899">
      <w:pPr>
        <w:rPr>
          <w:rFonts w:hint="default" w:ascii="Calibri" w:hAnsi="Calibri" w:cs="Calibri"/>
          <w:sz w:val="28"/>
          <w:szCs w:val="28"/>
        </w:rPr>
      </w:pPr>
    </w:p>
    <w:p w14:paraId="7AB170B7">
      <w:pPr>
        <w:rPr>
          <w:rFonts w:hint="default" w:ascii="Calibri" w:hAnsi="Calibri" w:eastAsia="Segoe UI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Calibri" w:hAnsi="Calibri" w:cs="Calibri"/>
          <w:sz w:val="28"/>
          <w:szCs w:val="28"/>
        </w:rPr>
        <w:t xml:space="preserve">• </w:t>
      </w:r>
      <w:r>
        <w:rPr>
          <w:rFonts w:hint="default" w:ascii="Calibri" w:hAnsi="Calibri" w:cs="Calibri"/>
          <w:sz w:val="28"/>
          <w:szCs w:val="28"/>
          <w:u w:val="single"/>
        </w:rPr>
        <w:t xml:space="preserve">Note-taking </w:t>
      </w:r>
      <w:r>
        <w:rPr>
          <w:rFonts w:hint="default" w:ascii="Calibri" w:hAnsi="Calibri" w:cs="Calibri"/>
          <w:sz w:val="28"/>
          <w:szCs w:val="28"/>
        </w:rPr>
        <w:t>— This can be as simple as jotting down reactions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again many times.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 xml:space="preserve">•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  <w:shd w:val="clear" w:fill="FFFFFF"/>
        </w:rPr>
        <w:t>Listing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 xml:space="preserve"> — Write down everything you can think of that is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related to your paper topic. You can add or remove items from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your list at any time.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 xml:space="preserve">•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  <w:shd w:val="clear" w:fill="FFFFFF"/>
        </w:rPr>
        <w:t>Free-writing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 xml:space="preserve"> — Write for 5 minutes on your topic without stopping or worrying about spelling,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grammar, or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anything else. If you run out of ideas about your topic, write “I don’t know what to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say” or something similar until you start to come up with more ideas. Free-writing helps you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clear out some of your dead-end ideas and write yourself into some surprising and fruitful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ideas.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 xml:space="preserve">•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  <w:shd w:val="clear" w:fill="FFFFFF"/>
        </w:rPr>
        <w:t xml:space="preserve">Clustering (also called mapping or webbing)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—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This method allows you to show how your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items or ideas are related to each other.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Separate your thoughts into similar categories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and draw lines connecting those categories to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 xml:space="preserve">each other and/or to your main topic.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</w:p>
    <w:p w14:paraId="4DDE5F6E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</w:rPr>
      </w:pPr>
      <w:r>
        <w:drawing>
          <wp:inline distT="0" distB="0" distL="114300" distR="114300">
            <wp:extent cx="3657600" cy="2247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9613F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shd w:val="clear" w:fill="FFFFFF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18"/>
          <w:szCs w:val="18"/>
          <w:shd w:val="clear" w:fill="FFFFFF"/>
        </w:rPr>
        <w:t>•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u w:val="single"/>
          <w:shd w:val="clear" w:fill="FFFFFF"/>
        </w:rPr>
        <w:t>Outlining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shd w:val="clear" w:fill="FFFFFF"/>
        </w:rPr>
        <w:t xml:space="preserve"> — Outlining consists of creating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shd w:val="clear" w:fill="FFFFFF"/>
        </w:rPr>
        <w:t>headings and putting your ideas, evidence, or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shd w:val="clear" w:fill="FFFFFF"/>
        </w:rPr>
        <w:t>sources under those headings so you can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shd w:val="clear" w:fill="FFFFFF"/>
        </w:rPr>
        <w:t>clearly see the entire paper’s organization.</w:t>
      </w:r>
    </w:p>
    <w:p w14:paraId="7F9D0112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</w:pPr>
    </w:p>
    <w:p w14:paraId="6885A3F9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highlight w:val="yellow"/>
          <w:bdr w:val="none" w:color="auto" w:sz="0" w:space="0"/>
          <w:shd w:val="clear" w:fill="FFFFFF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highlight w:val="yellow"/>
          <w:bdr w:val="none" w:color="auto" w:sz="0" w:space="0"/>
          <w:shd w:val="clear" w:fill="FFFFFF"/>
        </w:rPr>
        <w:t>The other 50% of the process (the revision and editing steps)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highlight w:val="yellow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highlight w:val="yellow"/>
          <w:bdr w:val="none" w:color="auto" w:sz="0" w:space="0"/>
          <w:shd w:val="clear" w:fill="FFFFFF"/>
        </w:rPr>
        <w:t>consists of looking at the ideas and form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highlight w:val="yellow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highlight w:val="yellow"/>
          <w:bdr w:val="none" w:color="auto" w:sz="0" w:space="0"/>
          <w:shd w:val="clear" w:fill="FFFFFF"/>
        </w:rPr>
        <w:t>more closely, often from a reader’s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highlight w:val="yellow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highlight w:val="yellow"/>
          <w:bdr w:val="none" w:color="auto" w:sz="0" w:space="0"/>
          <w:shd w:val="clear" w:fill="FFFFFF"/>
        </w:rPr>
        <w:t>perspective. All four steps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highlight w:val="yellow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highlight w:val="yellow"/>
          <w:bdr w:val="none" w:color="auto" w:sz="0" w:space="0"/>
          <w:shd w:val="clear" w:fill="FFFFFF"/>
        </w:rPr>
        <w:t>consider both global issues (such as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highlight w:val="yellow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highlight w:val="yellow"/>
          <w:bdr w:val="none" w:color="auto" w:sz="0" w:space="0"/>
          <w:shd w:val="clear" w:fill="FFFFFF"/>
        </w:rPr>
        <w:t>argument, focus, and structure) and local issues (such as spelling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highlight w:val="yellow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highlight w:val="yellow"/>
          <w:bdr w:val="none" w:color="auto" w:sz="0" w:space="0"/>
          <w:shd w:val="clear" w:fill="FFFFFF"/>
        </w:rPr>
        <w:t>and punctuation) to some degree.</w:t>
      </w:r>
    </w:p>
    <w:p w14:paraId="17641AD4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</w:pPr>
    </w:p>
    <w:p w14:paraId="7DB4BCE3">
      <w:pPr>
        <w:jc w:val="center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</w:pPr>
    </w:p>
    <w:p w14:paraId="77386C9E">
      <w:pPr>
        <w:jc w:val="center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</w:pPr>
    </w:p>
    <w:p w14:paraId="58385CF0">
      <w:pPr>
        <w:jc w:val="center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</w:pPr>
    </w:p>
    <w:p w14:paraId="1F7F7F26">
      <w:pPr>
        <w:jc w:val="center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</w:pPr>
    </w:p>
    <w:p w14:paraId="54295F9B">
      <w:pPr>
        <w:jc w:val="center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</w:pPr>
    </w:p>
    <w:p w14:paraId="08AD5885">
      <w:pPr>
        <w:jc w:val="center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</w:pPr>
    </w:p>
    <w:p w14:paraId="37505746">
      <w:pPr>
        <w:jc w:val="center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</w:pPr>
    </w:p>
    <w:p w14:paraId="0BECD822">
      <w:pPr>
        <w:jc w:val="center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</w:pPr>
    </w:p>
    <w:p w14:paraId="5CAF9B63">
      <w:pPr>
        <w:jc w:val="center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</w:pPr>
    </w:p>
    <w:p w14:paraId="7BBC8568">
      <w:pPr>
        <w:jc w:val="center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</w:pPr>
    </w:p>
    <w:p w14:paraId="22CF25B3">
      <w:pPr>
        <w:jc w:val="center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</w:pPr>
    </w:p>
    <w:p w14:paraId="557C52EE">
      <w:pPr>
        <w:jc w:val="center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</w:pPr>
    </w:p>
    <w:p w14:paraId="2548F7A8">
      <w:pPr>
        <w:jc w:val="center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</w:pPr>
    </w:p>
    <w:p w14:paraId="3F1B2A17">
      <w:pPr>
        <w:jc w:val="center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</w:pPr>
    </w:p>
    <w:p w14:paraId="2E1B6A7C">
      <w:pPr>
        <w:jc w:val="both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</w:pPr>
    </w:p>
    <w:p w14:paraId="24A2EA0F">
      <w:pPr>
        <w:jc w:val="center"/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Using the Writing Process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These tables describe the four steps of the writing process: inventing, drafting, revising, and editing.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Knowing when and how to use these steps will help you resolve common problems in your own writing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and grow as an effective writer.</w:t>
      </w:r>
    </w:p>
    <w:p w14:paraId="400D0F9A">
      <w:pPr>
        <w:jc w:val="center"/>
        <w:rPr>
          <w:rFonts w:hint="default" w:ascii="Calibri" w:hAnsi="Calibri" w:eastAsia="sans-serif" w:cs="Calibri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</w:rPr>
      </w:pPr>
    </w:p>
    <w:p w14:paraId="7AE7E062">
      <w:pPr>
        <w:ind w:left="-800" w:leftChars="-400" w:firstLine="0" w:firstLineChars="0"/>
        <w:jc w:val="center"/>
      </w:pPr>
      <w:r>
        <w:drawing>
          <wp:inline distT="0" distB="0" distL="114300" distR="114300">
            <wp:extent cx="6809740" cy="3582670"/>
            <wp:effectExtent l="0" t="0" r="1016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0974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BABE6">
      <w:pPr>
        <w:ind w:left="-800" w:leftChars="-400" w:firstLine="0" w:firstLineChars="0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6779895" cy="3329305"/>
            <wp:effectExtent l="0" t="0" r="190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79895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AE48C8"/>
    <w:rsid w:val="47AE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2025-02-06T07:03:00Z</dcterms:created>
  <dc:creator>karachi computer</dc:creator>
  <cp:lastModifiedBy>karachi computer</cp:lastModifiedBy>
  <dcterms:modified xsi:type="dcterms:W3CDTF">2025-02-06T07:15:29Z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2595744065304C66928DD66CD01CB6EB_11</vt:lpwstr>
  </property>
</Properties>
</file>