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IX. Open Questions</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IX.0. Introduction</w:t>
      </w:r>
    </w:p>
    <w:p>
      <w:pPr>
        <w:pStyle w:val="Normal"/>
        <w:spacing w:lineRule="exact" w:line="312" w:before="0" w:after="120"/>
        <w:jc w:val="both"/>
        <w:rPr/>
      </w:pPr>
      <w:r>
        <w:rPr>
          <w:rFonts w:eastAsia="Times New Roman" w:cs="Times New Roman"/>
          <w:sz w:val="24"/>
          <w:szCs w:val="24"/>
        </w:rPr>
        <w:t>The concluding part of the preprint fixes the open questions of the VR-Sets programme. They are divided into three groups:</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b/>
          <w:bCs/>
          <w:sz w:val="24"/>
          <w:szCs w:val="24"/>
        </w:rPr>
        <w:t>Technical questions</w:t>
      </w:r>
      <w:r>
        <w:rPr>
          <w:rFonts w:eastAsia="Times New Roman" w:cs="Times New Roman"/>
          <w:sz w:val="24"/>
          <w:szCs w:val="24"/>
        </w:rPr>
        <w:t xml:space="preserve"> — tasks of rigorously proving what has been formulated in the preprint as conjectures, and tasks of machine formalisation.</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b/>
          <w:bCs/>
          <w:sz w:val="24"/>
          <w:szCs w:val="24"/>
        </w:rPr>
        <w:t>Substantive extensions</w:t>
      </w:r>
      <w:r>
        <w:rPr>
          <w:rFonts w:eastAsia="Times New Roman" w:cs="Times New Roman"/>
          <w:sz w:val="24"/>
          <w:szCs w:val="24"/>
        </w:rPr>
        <w:t xml:space="preserve"> — directions for developing the theory beyond the present preprint: connections with topoi, HoTT, extensions to MK and NBG, non-von-Neumann constructions.</w:t>
      </w:r>
    </w:p>
    <w:p>
      <w:pPr>
        <w:pStyle w:val="Normal"/>
        <w:spacing w:lineRule="exact" w:line="312" w:before="0" w:after="80"/>
        <w:ind w:left="360"/>
        <w:jc w:val="both"/>
        <w:rPr/>
      </w:pPr>
      <w:r>
        <w:rPr>
          <w:rFonts w:eastAsia="Times New Roman" w:cs="Times New Roman"/>
          <w:sz w:val="24"/>
          <w:szCs w:val="24"/>
        </w:rPr>
        <w:t xml:space="preserve">(3) </w:t>
      </w:r>
      <w:r>
        <w:rPr>
          <w:rFonts w:eastAsia="Times New Roman" w:cs="Times New Roman"/>
          <w:b/>
          <w:bCs/>
          <w:sz w:val="24"/>
          <w:szCs w:val="24"/>
        </w:rPr>
        <w:t>Philosophical questions</w:t>
      </w:r>
      <w:r>
        <w:rPr>
          <w:rFonts w:eastAsia="Times New Roman" w:cs="Times New Roman"/>
          <w:sz w:val="24"/>
          <w:szCs w:val="24"/>
        </w:rPr>
        <w:t xml:space="preserve"> — substantive positions that have not received final formulation in the preprint.</w:t>
      </w:r>
    </w:p>
    <w:p>
      <w:pPr>
        <w:pStyle w:val="Normal"/>
        <w:spacing w:lineRule="exact" w:line="312" w:before="0" w:after="120"/>
        <w:jc w:val="both"/>
        <w:rPr/>
      </w:pPr>
      <w:r>
        <w:rPr>
          <w:rFonts w:eastAsia="Times New Roman" w:cs="Times New Roman"/>
          <w:sz w:val="24"/>
          <w:szCs w:val="24"/>
        </w:rPr>
        <w:t>Each question is formulated as a direction, not as a task with a known method of solution. Some of these questions may turn out to be technically routine (for instance, machine formalisation of already-proved theorems); others may require essentially new work.</w:t>
      </w:r>
    </w:p>
    <w:p>
      <w:pPr>
        <w:pStyle w:val="Heading1"/>
        <w:spacing w:before="360" w:after="200"/>
        <w:jc w:val="left"/>
        <w:rPr/>
      </w:pPr>
      <w:r>
        <w:rPr>
          <w:rFonts w:eastAsia="Times New Roman" w:cs="Times New Roman" w:ascii="Times New Roman" w:hAnsi="Times New Roman"/>
          <w:b/>
          <w:bCs/>
          <w:sz w:val="32"/>
          <w:szCs w:val="32"/>
        </w:rPr>
        <w:t>IX.1. Technical questions</w:t>
      </w:r>
    </w:p>
    <w:p>
      <w:pPr>
        <w:pStyle w:val="Heading3"/>
        <w:spacing w:before="220" w:after="120"/>
        <w:jc w:val="left"/>
        <w:rPr/>
      </w:pPr>
      <w:r>
        <w:rPr>
          <w:rFonts w:eastAsia="Times New Roman" w:cs="Times New Roman" w:ascii="Times New Roman" w:hAnsi="Times New Roman"/>
          <w:b/>
          <w:bCs/>
          <w:sz w:val="25"/>
          <w:szCs w:val="25"/>
        </w:rPr>
        <w:t>Question 1: Proof of Conjecture IV.1</w:t>
      </w:r>
    </w:p>
    <w:p>
      <w:pPr>
        <w:pStyle w:val="Normal"/>
        <w:spacing w:lineRule="exact" w:line="312" w:before="0" w:after="120"/>
        <w:jc w:val="both"/>
        <w:rPr/>
      </w:pPr>
      <w:r>
        <w:rPr>
          <w:rFonts w:eastAsia="Times New Roman" w:cs="Times New Roman"/>
          <w:sz w:val="24"/>
          <w:szCs w:val="24"/>
        </w:rPr>
        <w:t>Conjecture IV.1 asserts: the ZFC-mode of VR-Sets and classical ZFC are mutually interpretable (via a countable model of ZFC).</w:t>
      </w:r>
    </w:p>
    <w:p>
      <w:pPr>
        <w:pStyle w:val="Normal"/>
        <w:spacing w:lineRule="exact" w:line="312" w:before="0" w:after="120"/>
        <w:jc w:val="both"/>
        <w:rPr/>
      </w:pPr>
      <w:r>
        <w:rPr>
          <w:rFonts w:eastAsia="Times New Roman" w:cs="Times New Roman"/>
          <w:sz w:val="24"/>
          <w:szCs w:val="24"/>
        </w:rPr>
        <w:t>The direct direction was established in Theorem IV.1: the ZFC-mode is a model of ZFC. The converse direction — interpreting a countable model of ZFC in the ZFC-mode — requires:</w:t>
      </w:r>
    </w:p>
    <w:p>
      <w:pPr>
        <w:pStyle w:val="Normal"/>
        <w:spacing w:lineRule="exact" w:line="312" w:before="0" w:after="80"/>
        <w:ind w:left="360"/>
        <w:jc w:val="both"/>
        <w:rPr/>
      </w:pPr>
      <w:r>
        <w:rPr>
          <w:rFonts w:eastAsia="Times New Roman" w:cs="Times New Roman"/>
          <w:sz w:val="24"/>
          <w:szCs w:val="24"/>
        </w:rPr>
        <w:t>(a) the choice of a suitable countable model of ZFC (by Löwenheim–Skolem such models exist; a concrete construction convenient for operational interpretation is needed);</w:t>
      </w:r>
    </w:p>
    <w:p>
      <w:pPr>
        <w:pStyle w:val="Normal"/>
        <w:spacing w:lineRule="exact" w:line="312" w:before="0" w:after="80"/>
        <w:ind w:left="360"/>
        <w:jc w:val="both"/>
        <w:rPr/>
      </w:pPr>
      <w:r>
        <w:rPr>
          <w:rFonts w:eastAsia="Times New Roman" w:cs="Times New Roman"/>
          <w:sz w:val="24"/>
          <w:szCs w:val="24"/>
        </w:rPr>
        <w:t>(b) the construction of an operational representation of each element of this model as a describable functionality;</w:t>
      </w:r>
    </w:p>
    <w:p>
      <w:pPr>
        <w:pStyle w:val="Normal"/>
        <w:spacing w:lineRule="exact" w:line="312" w:before="0" w:after="80"/>
        <w:ind w:left="360"/>
        <w:jc w:val="both"/>
        <w:rPr/>
      </w:pPr>
      <w:r>
        <w:rPr>
          <w:rFonts w:eastAsia="Times New Roman" w:cs="Times New Roman"/>
          <w:sz w:val="24"/>
          <w:szCs w:val="24"/>
        </w:rPr>
        <w:t>(c) verification that the membership relation in the model is preserved under the passage to VR-Sets.</w:t>
      </w:r>
    </w:p>
    <w:p>
      <w:pPr>
        <w:pStyle w:val="Normal"/>
        <w:spacing w:lineRule="exact" w:line="312" w:before="0" w:after="120"/>
        <w:jc w:val="both"/>
        <w:rPr/>
      </w:pPr>
      <w:r>
        <w:rPr>
          <w:rFonts w:eastAsia="Times New Roman" w:cs="Times New Roman"/>
          <w:sz w:val="24"/>
          <w:szCs w:val="24"/>
        </w:rPr>
        <w:t>This is technical work feasible by standard means of model theory, but not trivial. An alternative approach — through the theorem on the existence of the minimal model of ZFC (L); the elements of L are describable by construction, which simplifies the operational interpretation.</w:t>
      </w:r>
    </w:p>
    <w:p>
      <w:pPr>
        <w:pStyle w:val="Heading3"/>
        <w:spacing w:before="220" w:after="120"/>
        <w:jc w:val="left"/>
        <w:rPr/>
      </w:pPr>
      <w:r>
        <w:rPr>
          <w:rFonts w:eastAsia="Times New Roman" w:cs="Times New Roman" w:ascii="Times New Roman" w:hAnsi="Times New Roman"/>
          <w:b/>
          <w:bCs/>
          <w:sz w:val="25"/>
          <w:szCs w:val="25"/>
        </w:rPr>
        <w:t>Question 2: Proof of Conjecture IV.2</w:t>
      </w:r>
    </w:p>
    <w:p>
      <w:pPr>
        <w:pStyle w:val="Normal"/>
        <w:spacing w:lineRule="exact" w:line="312" w:before="0" w:after="120"/>
        <w:jc w:val="both"/>
        <w:rPr/>
      </w:pPr>
      <w:r>
        <w:rPr>
          <w:rFonts w:eastAsia="Times New Roman" w:cs="Times New Roman"/>
          <w:sz w:val="24"/>
          <w:szCs w:val="24"/>
        </w:rPr>
        <w:t>Conjecture IV.2 is the parallel of IV.1 for the ZFA-mode and the theory ZFC− + AFA (Aczel 1988). Technically similar, with additional difficulty on the AFA side: classical AFA theory also has an uncountable model, and a correspondence with the ZFA-mode requires work with a countable AFA-model.</w:t>
      </w:r>
    </w:p>
    <w:p>
      <w:pPr>
        <w:pStyle w:val="Normal"/>
        <w:spacing w:lineRule="exact" w:line="312" w:before="0" w:after="120"/>
        <w:jc w:val="both"/>
        <w:rPr/>
      </w:pPr>
      <w:r>
        <w:rPr>
          <w:rFonts w:eastAsia="Times New Roman" w:cs="Times New Roman"/>
          <w:sz w:val="24"/>
          <w:szCs w:val="24"/>
        </w:rPr>
        <w:t>Difficulty: in the AFA literature, countable models are less well studied than countable models of ZFC. A possible route — through Aczel's theorem on the final coalgebra of the power-set functor; the final coalgebra in a countable category may yield a countable AFA-model.</w:t>
      </w:r>
    </w:p>
    <w:p>
      <w:pPr>
        <w:pStyle w:val="Heading3"/>
        <w:spacing w:before="220" w:after="120"/>
        <w:jc w:val="left"/>
        <w:rPr/>
      </w:pPr>
      <w:r>
        <w:rPr>
          <w:rFonts w:eastAsia="Times New Roman" w:cs="Times New Roman" w:ascii="Times New Roman" w:hAnsi="Times New Roman"/>
          <w:b/>
          <w:bCs/>
          <w:sz w:val="25"/>
          <w:szCs w:val="25"/>
        </w:rPr>
        <w:t>Question 3: Formalisation in Lean / Coq / Agda</w:t>
      </w:r>
    </w:p>
    <w:p>
      <w:pPr>
        <w:pStyle w:val="Normal"/>
        <w:spacing w:lineRule="exact" w:line="312" w:before="0" w:after="120"/>
        <w:jc w:val="both"/>
        <w:rPr/>
      </w:pPr>
      <w:r>
        <w:rPr>
          <w:rFonts w:eastAsia="Times New Roman" w:cs="Times New Roman"/>
          <w:sz w:val="24"/>
          <w:szCs w:val="24"/>
        </w:rPr>
        <w:t>Machine formalisation of the preprint in one of the proof assistants is the natural next task. This would provide:</w:t>
      </w:r>
    </w:p>
    <w:p>
      <w:pPr>
        <w:pStyle w:val="Normal"/>
        <w:spacing w:lineRule="exact" w:line="312" w:before="0" w:after="80"/>
        <w:ind w:left="360"/>
        <w:jc w:val="both"/>
        <w:rPr/>
      </w:pPr>
      <w:r>
        <w:rPr>
          <w:rFonts w:eastAsia="Times New Roman" w:cs="Times New Roman"/>
          <w:sz w:val="24"/>
          <w:szCs w:val="24"/>
        </w:rPr>
        <w:t>(a) a formal check of all proofs of Part III and Part IV;</w:t>
      </w:r>
    </w:p>
    <w:p>
      <w:pPr>
        <w:pStyle w:val="Normal"/>
        <w:spacing w:lineRule="exact" w:line="312" w:before="0" w:after="80"/>
        <w:ind w:left="360"/>
        <w:jc w:val="both"/>
        <w:rPr/>
      </w:pPr>
      <w:r>
        <w:rPr>
          <w:rFonts w:eastAsia="Times New Roman" w:cs="Times New Roman"/>
          <w:sz w:val="24"/>
          <w:szCs w:val="24"/>
        </w:rPr>
        <w:t>(b) a precise formulation of the definitions of Part II in the language of dependent types;</w:t>
      </w:r>
    </w:p>
    <w:p>
      <w:pPr>
        <w:pStyle w:val="Normal"/>
        <w:spacing w:lineRule="exact" w:line="312" w:before="0" w:after="80"/>
        <w:ind w:left="360"/>
        <w:jc w:val="both"/>
        <w:rPr/>
      </w:pPr>
      <w:r>
        <w:rPr>
          <w:rFonts w:eastAsia="Times New Roman" w:cs="Times New Roman"/>
          <w:sz w:val="24"/>
          <w:szCs w:val="24"/>
        </w:rPr>
        <w:t>(c) the possibility of machine verification of Conjectures IV.1 and IV.2 (at least the direct directions).</w:t>
      </w:r>
    </w:p>
    <w:p>
      <w:pPr>
        <w:pStyle w:val="Normal"/>
        <w:spacing w:lineRule="exact" w:line="312" w:before="0" w:after="120"/>
        <w:jc w:val="both"/>
        <w:rPr/>
      </w:pPr>
      <w:r>
        <w:rPr>
          <w:rFonts w:eastAsia="Times New Roman" w:cs="Times New Roman"/>
          <w:sz w:val="24"/>
          <w:szCs w:val="24"/>
        </w:rPr>
        <w:t>Lean 4 appears the most suitable due to its mathematical library (mathlib) and convenient support for coinductive definitions (for ≡). Alternatively, Coq with its own library for non-well-founded sets, or Agda with its strong support for sized types.</w:t>
      </w:r>
    </w:p>
    <w:p>
      <w:pPr>
        <w:pStyle w:val="Heading3"/>
        <w:spacing w:before="220" w:after="120"/>
        <w:jc w:val="left"/>
        <w:rPr/>
      </w:pPr>
      <w:r>
        <w:rPr>
          <w:rFonts w:eastAsia="Times New Roman" w:cs="Times New Roman" w:ascii="Times New Roman" w:hAnsi="Times New Roman"/>
          <w:b/>
          <w:bCs/>
          <w:sz w:val="25"/>
          <w:szCs w:val="25"/>
        </w:rPr>
        <w:t>Question 4: Precise characterisation of describable functionalities</w:t>
      </w:r>
    </w:p>
    <w:p>
      <w:pPr>
        <w:pStyle w:val="Normal"/>
        <w:spacing w:lineRule="exact" w:line="312" w:before="0" w:after="120"/>
        <w:jc w:val="both"/>
        <w:rPr/>
      </w:pPr>
      <w:r>
        <w:rPr>
          <w:rFonts w:eastAsia="Times New Roman" w:cs="Times New Roman"/>
          <w:sz w:val="24"/>
          <w:szCs w:val="24"/>
        </w:rPr>
        <w:t>The closure principle rests on the notion of an "operationally describable functionality." In the preprint this notion is used substantively but does not receive a precise formal definition. Possible formalisations:</w:t>
      </w:r>
    </w:p>
    <w:p>
      <w:pPr>
        <w:pStyle w:val="Normal"/>
        <w:spacing w:lineRule="exact" w:line="312" w:before="0" w:after="80"/>
        <w:ind w:left="360"/>
        <w:jc w:val="both"/>
        <w:rPr/>
      </w:pPr>
      <w:r>
        <w:rPr>
          <w:rFonts w:eastAsia="Times New Roman" w:cs="Times New Roman"/>
          <w:sz w:val="24"/>
          <w:szCs w:val="24"/>
        </w:rPr>
        <w:t>(a) through Turing machines: a describable functionality is one computable by a suitable machine;</w:t>
      </w:r>
    </w:p>
    <w:p>
      <w:pPr>
        <w:pStyle w:val="Normal"/>
        <w:spacing w:lineRule="exact" w:line="312" w:before="0" w:after="80"/>
        <w:ind w:left="360"/>
        <w:jc w:val="both"/>
        <w:rPr/>
      </w:pPr>
      <w:r>
        <w:rPr>
          <w:rFonts w:eastAsia="Times New Roman" w:cs="Times New Roman"/>
          <w:sz w:val="24"/>
          <w:szCs w:val="24"/>
        </w:rPr>
        <w:t>(b) through λ-calculus: a describable functionality is one expressible by a λ-term;</w:t>
      </w:r>
    </w:p>
    <w:p>
      <w:pPr>
        <w:pStyle w:val="Normal"/>
        <w:spacing w:lineRule="exact" w:line="312" w:before="0" w:after="80"/>
        <w:ind w:left="360"/>
        <w:jc w:val="both"/>
        <w:rPr/>
      </w:pPr>
      <w:r>
        <w:rPr>
          <w:rFonts w:eastAsia="Times New Roman" w:cs="Times New Roman"/>
          <w:sz w:val="24"/>
          <w:szCs w:val="24"/>
        </w:rPr>
        <w:t>(c) through primitive recursion and general recursion: a describable functionality is one given by a recursive definition.</w:t>
      </w:r>
    </w:p>
    <w:p>
      <w:pPr>
        <w:pStyle w:val="Normal"/>
        <w:spacing w:lineRule="exact" w:line="312" w:before="0" w:after="120"/>
        <w:jc w:val="both"/>
        <w:rPr/>
      </w:pPr>
      <w:r>
        <w:rPr>
          <w:rFonts w:eastAsia="Times New Roman" w:cs="Times New Roman"/>
          <w:sz w:val="24"/>
          <w:szCs w:val="24"/>
        </w:rPr>
        <w:t>These three formalisations are classically equivalent (by the Church–Turing thesis) but yield different practical approaches to working with VR-Sets. The choice of one or another formalisation is a separate technical question.</w:t>
      </w:r>
    </w:p>
    <w:p>
      <w:pPr>
        <w:pStyle w:val="Heading3"/>
        <w:spacing w:before="220" w:after="120"/>
        <w:jc w:val="left"/>
        <w:rPr/>
      </w:pPr>
      <w:r>
        <w:rPr>
          <w:rFonts w:eastAsia="Times New Roman" w:cs="Times New Roman" w:ascii="Times New Roman" w:hAnsi="Times New Roman"/>
          <w:b/>
          <w:bCs/>
          <w:sz w:val="25"/>
          <w:szCs w:val="25"/>
        </w:rPr>
        <w:t>Question 5: Connection of ≡ with bisimulation in rigorous formulation</w:t>
      </w:r>
    </w:p>
    <w:p>
      <w:pPr>
        <w:pStyle w:val="Normal"/>
        <w:spacing w:lineRule="exact" w:line="312" w:before="0" w:after="120"/>
        <w:jc w:val="both"/>
        <w:rPr/>
      </w:pPr>
      <w:r>
        <w:rPr>
          <w:rFonts w:eastAsia="Times New Roman" w:cs="Times New Roman"/>
          <w:sz w:val="24"/>
          <w:szCs w:val="24"/>
        </w:rPr>
        <w:t>In Part IV §IV.8 it was asserted that the operational identity ≡ from Definition 4 structurally coincides with Aczel's bisimulation. This assertion requires a rigorous formulation: which sets/graphs are considered, in which category the correspondence operates, how this equivalence interacts with the ZFC and ZFA modes.</w:t>
      </w:r>
    </w:p>
    <w:p>
      <w:pPr>
        <w:pStyle w:val="Heading1"/>
        <w:spacing w:before="360" w:after="200"/>
        <w:jc w:val="left"/>
        <w:rPr/>
      </w:pPr>
      <w:r>
        <w:rPr>
          <w:rFonts w:eastAsia="Times New Roman" w:cs="Times New Roman" w:ascii="Times New Roman" w:hAnsi="Times New Roman"/>
          <w:b/>
          <w:bCs/>
          <w:sz w:val="32"/>
          <w:szCs w:val="32"/>
        </w:rPr>
        <w:t>IX.2. Substantive extensions</w:t>
      </w:r>
    </w:p>
    <w:p>
      <w:pPr>
        <w:pStyle w:val="Heading3"/>
        <w:spacing w:before="220" w:after="120"/>
        <w:jc w:val="left"/>
        <w:rPr/>
      </w:pPr>
      <w:r>
        <w:rPr>
          <w:rFonts w:eastAsia="Times New Roman" w:cs="Times New Roman" w:ascii="Times New Roman" w:hAnsi="Times New Roman"/>
          <w:b/>
          <w:bCs/>
          <w:sz w:val="25"/>
          <w:szCs w:val="25"/>
        </w:rPr>
        <w:t>Extension 1: Connection with topos theory</w:t>
      </w:r>
    </w:p>
    <w:p>
      <w:pPr>
        <w:pStyle w:val="Normal"/>
        <w:spacing w:lineRule="exact" w:line="312" w:before="0" w:after="120"/>
        <w:jc w:val="both"/>
        <w:rPr/>
      </w:pPr>
      <w:r>
        <w:rPr>
          <w:rFonts w:eastAsia="Times New Roman" w:cs="Times New Roman"/>
          <w:sz w:val="24"/>
          <w:szCs w:val="24"/>
        </w:rPr>
        <w:t>Categorical set theory (Lawvere's ETCS and its extensions) considers sets through the category Set with its universal properties. VR-Sets is closer to this tradition than to classical ZF: ≡ operates as an isomorphism in the category of operational functionalities.</w:t>
      </w:r>
    </w:p>
    <w:p>
      <w:pPr>
        <w:pStyle w:val="Normal"/>
        <w:spacing w:lineRule="exact" w:line="312" w:before="0" w:after="120"/>
        <w:jc w:val="both"/>
        <w:rPr/>
      </w:pPr>
      <w:r>
        <w:rPr>
          <w:rFonts w:eastAsia="Times New Roman" w:cs="Times New Roman"/>
          <w:sz w:val="24"/>
          <w:szCs w:val="24"/>
        </w:rPr>
        <w:t>Open questions:</w:t>
      </w:r>
    </w:p>
    <w:p>
      <w:pPr>
        <w:pStyle w:val="Normal"/>
        <w:spacing w:lineRule="exact" w:line="312" w:before="0" w:after="80"/>
        <w:ind w:left="360"/>
        <w:jc w:val="both"/>
        <w:rPr/>
      </w:pPr>
      <w:r>
        <w:rPr>
          <w:rFonts w:eastAsia="Times New Roman" w:cs="Times New Roman"/>
          <w:sz w:val="24"/>
          <w:szCs w:val="24"/>
        </w:rPr>
        <w:t>(a) Is the VR-Sets universe (for the ZFC-mode) a topos? If so, what are its specific properties (for instance, does it contain a subobject classifier)?</w:t>
      </w:r>
    </w:p>
    <w:p>
      <w:pPr>
        <w:pStyle w:val="Normal"/>
        <w:spacing w:lineRule="exact" w:line="312" w:before="0" w:after="80"/>
        <w:ind w:left="360"/>
        <w:jc w:val="both"/>
        <w:rPr/>
      </w:pPr>
      <w:r>
        <w:rPr>
          <w:rFonts w:eastAsia="Times New Roman" w:cs="Times New Roman"/>
          <w:sz w:val="24"/>
          <w:szCs w:val="24"/>
        </w:rPr>
        <w:t>(b) What is the connection between the ZFC-mode and the category of sets in a suitable topos of computable functions?</w:t>
      </w:r>
    </w:p>
    <w:p>
      <w:pPr>
        <w:pStyle w:val="Normal"/>
        <w:spacing w:lineRule="exact" w:line="312" w:before="0" w:after="80"/>
        <w:ind w:left="360"/>
        <w:jc w:val="both"/>
        <w:rPr/>
      </w:pPr>
      <w:r>
        <w:rPr>
          <w:rFonts w:eastAsia="Times New Roman" w:cs="Times New Roman"/>
          <w:sz w:val="24"/>
          <w:szCs w:val="24"/>
        </w:rPr>
        <w:t>(c) Can the ZFA-mode be obtained as a topos with a suitable modification (without the well-foundedness condition on structural morphisms)?</w:t>
      </w:r>
    </w:p>
    <w:p>
      <w:pPr>
        <w:pStyle w:val="Normal"/>
        <w:spacing w:lineRule="exact" w:line="312" w:before="0" w:after="120"/>
        <w:jc w:val="both"/>
        <w:rPr/>
      </w:pPr>
      <w:r>
        <w:rPr>
          <w:rFonts w:eastAsia="Times New Roman" w:cs="Times New Roman"/>
          <w:sz w:val="24"/>
          <w:szCs w:val="24"/>
        </w:rPr>
        <w:t>These questions form a bridge to the powerful categorical apparatus; their development could significantly extend the expressive power of VR-Sets.</w:t>
      </w:r>
    </w:p>
    <w:p>
      <w:pPr>
        <w:pStyle w:val="Heading3"/>
        <w:spacing w:before="220" w:after="120"/>
        <w:jc w:val="left"/>
        <w:rPr/>
      </w:pPr>
      <w:r>
        <w:rPr>
          <w:rFonts w:eastAsia="Times New Roman" w:cs="Times New Roman" w:ascii="Times New Roman" w:hAnsi="Times New Roman"/>
          <w:b/>
          <w:bCs/>
          <w:sz w:val="25"/>
          <w:szCs w:val="25"/>
        </w:rPr>
        <w:t>Extension 2: Homotopy type theory (HoTT)</w:t>
      </w:r>
    </w:p>
    <w:p>
      <w:pPr>
        <w:pStyle w:val="Normal"/>
        <w:spacing w:lineRule="exact" w:line="312" w:before="0" w:after="120"/>
        <w:jc w:val="both"/>
        <w:rPr/>
      </w:pPr>
      <w:r>
        <w:rPr>
          <w:rFonts w:eastAsia="Times New Roman" w:cs="Times New Roman"/>
          <w:sz w:val="24"/>
          <w:szCs w:val="24"/>
        </w:rPr>
        <w:t>In HoTT, equality is not a relation but a type (path). This is consistent with the operational ontology: ≡ in VR-Sets is not a static relation but potentially a structure (two operationalities are equal in a particular way, and there may be many such ways).</w:t>
      </w:r>
    </w:p>
    <w:p>
      <w:pPr>
        <w:pStyle w:val="Normal"/>
        <w:spacing w:lineRule="exact" w:line="312" w:before="0" w:after="120"/>
        <w:jc w:val="both"/>
        <w:rPr/>
      </w:pPr>
      <w:r>
        <w:rPr>
          <w:rFonts w:eastAsia="Times New Roman" w:cs="Times New Roman"/>
          <w:sz w:val="24"/>
          <w:szCs w:val="24"/>
        </w:rPr>
        <w:t>Possible directions:</w:t>
      </w:r>
    </w:p>
    <w:p>
      <w:pPr>
        <w:pStyle w:val="Normal"/>
        <w:spacing w:lineRule="exact" w:line="312" w:before="0" w:after="80"/>
        <w:ind w:left="360"/>
        <w:jc w:val="both"/>
        <w:rPr/>
      </w:pPr>
      <w:r>
        <w:rPr>
          <w:rFonts w:eastAsia="Times New Roman" w:cs="Times New Roman"/>
          <w:sz w:val="24"/>
          <w:szCs w:val="24"/>
        </w:rPr>
        <w:t>(a) Reformulate VR-Sets in the language of HoTT, where ≡ becomes a path type.</w:t>
      </w:r>
    </w:p>
    <w:p>
      <w:pPr>
        <w:pStyle w:val="Normal"/>
        <w:spacing w:lineRule="exact" w:line="312" w:before="0" w:after="80"/>
        <w:ind w:left="360"/>
        <w:jc w:val="both"/>
        <w:rPr/>
      </w:pPr>
      <w:r>
        <w:rPr>
          <w:rFonts w:eastAsia="Times New Roman" w:cs="Times New Roman"/>
          <w:sz w:val="24"/>
          <w:szCs w:val="24"/>
        </w:rPr>
        <w:t>(b) Investigate whether this yields new objects — operational sets with a non-trivial identity structure.</w:t>
      </w:r>
    </w:p>
    <w:p>
      <w:pPr>
        <w:pStyle w:val="Normal"/>
        <w:spacing w:lineRule="exact" w:line="312" w:before="0" w:after="80"/>
        <w:ind w:left="360"/>
        <w:jc w:val="both"/>
        <w:rPr/>
      </w:pPr>
      <w:r>
        <w:rPr>
          <w:rFonts w:eastAsia="Times New Roman" w:cs="Times New Roman"/>
          <w:sz w:val="24"/>
          <w:szCs w:val="24"/>
        </w:rPr>
        <w:t>(c) Connect the hierarchy of t-applications with n-types of HoTT.</w:t>
      </w:r>
    </w:p>
    <w:p>
      <w:pPr>
        <w:pStyle w:val="Normal"/>
        <w:spacing w:lineRule="exact" w:line="312" w:before="0" w:after="120"/>
        <w:jc w:val="both"/>
        <w:rPr/>
      </w:pPr>
      <w:r>
        <w:rPr>
          <w:rFonts w:eastAsia="Times New Roman" w:cs="Times New Roman"/>
          <w:sz w:val="24"/>
          <w:szCs w:val="24"/>
        </w:rPr>
        <w:t>This is a substantively close direction, but it would require considerable work in translating VR-Sets into a type calculus.</w:t>
      </w:r>
    </w:p>
    <w:p>
      <w:pPr>
        <w:pStyle w:val="Heading3"/>
        <w:spacing w:before="220" w:after="120"/>
        <w:jc w:val="left"/>
        <w:rPr/>
      </w:pPr>
      <w:r>
        <w:rPr>
          <w:rFonts w:eastAsia="Times New Roman" w:cs="Times New Roman" w:ascii="Times New Roman" w:hAnsi="Times New Roman"/>
          <w:b/>
          <w:bCs/>
          <w:sz w:val="25"/>
          <w:szCs w:val="25"/>
        </w:rPr>
        <w:t>Extension 3: Morse–Kelley and NBG</w:t>
      </w:r>
    </w:p>
    <w:p>
      <w:pPr>
        <w:pStyle w:val="Normal"/>
        <w:spacing w:lineRule="exact" w:line="312" w:before="0" w:after="120"/>
        <w:jc w:val="both"/>
        <w:rPr/>
      </w:pPr>
      <w:r>
        <w:rPr>
          <w:rFonts w:eastAsia="Times New Roman" w:cs="Times New Roman"/>
          <w:sz w:val="24"/>
          <w:szCs w:val="24"/>
        </w:rPr>
        <w:t>In classical set theory, beyond ZFC, extensions with proper classes are considered: NBG (von Neumann–Bernays–Gödel) and Morse–Kelley. In these theories, "collections" too large to be sets are admitted.</w:t>
      </w:r>
    </w:p>
    <w:p>
      <w:pPr>
        <w:pStyle w:val="Normal"/>
        <w:spacing w:lineRule="exact" w:line="312" w:before="0" w:after="120"/>
        <w:jc w:val="both"/>
        <w:rPr/>
      </w:pPr>
      <w:r>
        <w:rPr>
          <w:rFonts w:eastAsia="Times New Roman" w:cs="Times New Roman"/>
          <w:sz w:val="24"/>
          <w:szCs w:val="24"/>
        </w:rPr>
        <w:t>In VR-Sets, the entire universe is countable, and so "too large collections" do not arise in the classical sense. However, operational analogues are possible:</w:t>
      </w:r>
    </w:p>
    <w:p>
      <w:pPr>
        <w:pStyle w:val="Normal"/>
        <w:spacing w:lineRule="exact" w:line="312" w:before="0" w:after="80"/>
        <w:ind w:left="360"/>
        <w:jc w:val="both"/>
        <w:rPr/>
      </w:pPr>
      <w:r>
        <w:rPr>
          <w:rFonts w:eastAsia="Times New Roman" w:cs="Times New Roman"/>
          <w:sz w:val="24"/>
          <w:szCs w:val="24"/>
        </w:rPr>
        <w:t xml:space="preserve">(a) </w:t>
      </w:r>
      <w:r>
        <w:rPr>
          <w:rFonts w:eastAsia="Times New Roman" w:cs="Times New Roman"/>
          <w:b/>
          <w:bCs/>
          <w:sz w:val="24"/>
          <w:szCs w:val="24"/>
        </w:rPr>
        <w:t>Describable families of functionalities</w:t>
      </w:r>
      <w:r>
        <w:rPr>
          <w:rFonts w:eastAsia="Times New Roman" w:cs="Times New Roman"/>
          <w:sz w:val="24"/>
          <w:szCs w:val="24"/>
        </w:rPr>
        <w:t xml:space="preserve"> that are not sets through failure of operational describability. For instance, "all terminating algorithms computing reals" — this is not a set in VR-Sets, since the corresponding family is not enumerable.</w:t>
      </w:r>
    </w:p>
    <w:p>
      <w:pPr>
        <w:pStyle w:val="Normal"/>
        <w:spacing w:lineRule="exact" w:line="312" w:before="0" w:after="80"/>
        <w:ind w:left="360"/>
        <w:jc w:val="both"/>
        <w:rPr/>
      </w:pPr>
      <w:r>
        <w:rPr>
          <w:rFonts w:eastAsia="Times New Roman" w:cs="Times New Roman"/>
          <w:sz w:val="24"/>
          <w:szCs w:val="24"/>
        </w:rPr>
        <w:t xml:space="preserve">(b) </w:t>
      </w:r>
      <w:r>
        <w:rPr>
          <w:rFonts w:eastAsia="Times New Roman" w:cs="Times New Roman"/>
          <w:b/>
          <w:bCs/>
          <w:sz w:val="24"/>
          <w:szCs w:val="24"/>
        </w:rPr>
        <w:t>The hierarchy of meta-levels through t</w:t>
      </w:r>
      <w:r>
        <w:rPr>
          <w:rFonts w:eastAsia="Times New Roman" w:cs="Times New Roman"/>
          <w:sz w:val="24"/>
          <w:szCs w:val="24"/>
        </w:rPr>
        <w:t>: each t</w:t>
      </w:r>
      <w:r>
        <w:rPr>
          <w:rFonts w:eastAsia="Times New Roman" w:cs="Times New Roman"/>
          <w:sz w:val="18"/>
          <w:szCs w:val="18"/>
          <w:vertAlign w:val="superscript"/>
        </w:rPr>
        <w:t>n</w:t>
      </w:r>
      <w:r>
        <w:rPr>
          <w:rFonts w:eastAsia="Times New Roman" w:cs="Times New Roman"/>
          <w:sz w:val="24"/>
          <w:szCs w:val="24"/>
        </w:rPr>
        <w:t>(ω) is a set, but "the entire hierarchy" is an unbounded process, not a separate object.</w:t>
      </w:r>
    </w:p>
    <w:p>
      <w:pPr>
        <w:pStyle w:val="Normal"/>
        <w:spacing w:lineRule="exact" w:line="312" w:before="0" w:after="120"/>
        <w:jc w:val="both"/>
        <w:rPr/>
      </w:pPr>
      <w:r>
        <w:rPr>
          <w:rFonts w:eastAsia="Times New Roman" w:cs="Times New Roman"/>
          <w:sz w:val="24"/>
          <w:szCs w:val="24"/>
        </w:rPr>
        <w:t>A substantive development of the operational analogue of class theory is an open direction.</w:t>
      </w:r>
    </w:p>
    <w:p>
      <w:pPr>
        <w:pStyle w:val="Heading3"/>
        <w:spacing w:before="220" w:after="120"/>
        <w:jc w:val="left"/>
        <w:rPr/>
      </w:pPr>
      <w:r>
        <w:rPr>
          <w:rFonts w:eastAsia="Times New Roman" w:cs="Times New Roman" w:ascii="Times New Roman" w:hAnsi="Times New Roman"/>
          <w:b/>
          <w:bCs/>
          <w:sz w:val="25"/>
          <w:szCs w:val="25"/>
        </w:rPr>
        <w:t>Extension 4: Non-von-Neumann codings of numbers</w:t>
      </w:r>
    </w:p>
    <w:p>
      <w:pPr>
        <w:pStyle w:val="Normal"/>
        <w:spacing w:lineRule="exact" w:line="312" w:before="0" w:after="120"/>
        <w:jc w:val="both"/>
        <w:rPr/>
      </w:pPr>
      <w:r>
        <w:rPr>
          <w:rFonts w:eastAsia="Times New Roman" w:cs="Times New Roman"/>
          <w:sz w:val="24"/>
          <w:szCs w:val="24"/>
        </w:rPr>
        <w:t>In Part V, VR numbers are represented as von Neumann ordinals O</w:t>
      </w:r>
      <w:r>
        <w:rPr>
          <w:rFonts w:eastAsia="Times New Roman" w:cs="Times New Roman"/>
          <w:sz w:val="18"/>
          <w:szCs w:val="18"/>
          <w:vertAlign w:val="subscript"/>
        </w:rPr>
        <w:t>n</w:t>
      </w:r>
      <w:r>
        <w:rPr>
          <w:rFonts w:eastAsia="Times New Roman" w:cs="Times New Roman"/>
          <w:sz w:val="24"/>
          <w:szCs w:val="24"/>
        </w:rPr>
        <w:t xml:space="preserve"> = {O</w:t>
      </w:r>
      <w:r>
        <w:rPr>
          <w:rFonts w:eastAsia="Times New Roman" w:cs="Times New Roman"/>
          <w:sz w:val="18"/>
          <w:szCs w:val="18"/>
          <w:vertAlign w:val="subscript"/>
        </w:rPr>
        <w:t>0</w:t>
      </w:r>
      <w:r>
        <w:rPr>
          <w:rFonts w:eastAsia="Times New Roman" w:cs="Times New Roman"/>
          <w:sz w:val="24"/>
          <w:szCs w:val="24"/>
        </w:rPr>
        <w:t>, …, O</w:t>
      </w:r>
      <w:r>
        <w:rPr>
          <w:rFonts w:eastAsia="Times New Roman" w:cs="Times New Roman"/>
          <w:sz w:val="18"/>
          <w:szCs w:val="18"/>
          <w:vertAlign w:val="subscript"/>
        </w:rPr>
        <w:t>n−1</w:t>
      </w:r>
      <w:r>
        <w:rPr>
          <w:rFonts w:eastAsia="Times New Roman" w:cs="Times New Roman"/>
          <w:sz w:val="24"/>
          <w:szCs w:val="24"/>
        </w:rPr>
        <w:t>}. This is a standard coding but not the only one. Zermelo proposed an alternative: {∅}, {{∅}}, {{{∅}}}, …</w:t>
      </w:r>
    </w:p>
    <w:p>
      <w:pPr>
        <w:pStyle w:val="Normal"/>
        <w:spacing w:lineRule="exact" w:line="312" w:before="0" w:after="120"/>
        <w:jc w:val="both"/>
        <w:rPr/>
      </w:pPr>
      <w:r>
        <w:rPr>
          <w:rFonts w:eastAsia="Times New Roman" w:cs="Times New Roman"/>
          <w:sz w:val="24"/>
          <w:szCs w:val="24"/>
        </w:rPr>
        <w:t>In VR-Sets more exotic operational codings of numbers are possible — for instance, through infinite non-composite functionalities, through coinductive structures in the ZFA-mode, or through binary representations. Each such coding is a distinct operational realisation of ℕ; all are isomorphic as algebraic structures but differ in operational characteristics (operational depth, describability, and so on).</w:t>
      </w:r>
    </w:p>
    <w:p>
      <w:pPr>
        <w:pStyle w:val="Normal"/>
        <w:spacing w:lineRule="exact" w:line="312" w:before="0" w:after="120"/>
        <w:jc w:val="both"/>
        <w:rPr/>
      </w:pPr>
      <w:r>
        <w:rPr>
          <w:rFonts w:eastAsia="Times New Roman" w:cs="Times New Roman"/>
          <w:sz w:val="24"/>
          <w:szCs w:val="24"/>
        </w:rPr>
        <w:t>Open question: is there, among these codings, one distinguished in VR-Sets by a structural property (for instance, minimising operational depth or complexity of description)?</w:t>
      </w:r>
    </w:p>
    <w:p>
      <w:pPr>
        <w:pStyle w:val="Normal"/>
        <w:spacing w:lineRule="exact" w:line="312" w:before="0" w:after="120"/>
        <w:jc w:val="both"/>
        <w:rPr/>
      </w:pPr>
      <w:r>
        <w:rPr>
          <w:rFonts w:eastAsia="Times New Roman" w:cs="Times New Roman"/>
          <w:b/>
          <w:bCs/>
          <w:sz w:val="24"/>
          <w:szCs w:val="24"/>
        </w:rPr>
        <w:t xml:space="preserve">Consistency with §V.6. </w:t>
      </w:r>
      <w:r>
        <w:rPr>
          <w:rFonts w:eastAsia="Times New Roman" w:cs="Times New Roman"/>
          <w:sz w:val="24"/>
          <w:szCs w:val="24"/>
        </w:rPr>
        <w:t>Part V §V.6 asserts that, under the standard von Neumann coding, VR numbers do not use the ZFA-mode. The present extension does not contradict this: it considers alternative non-von-Neumann codings as an open direction. Coinductive ZFA-mode codings of numbers, if developed, would be a separate operational realisation of ℕ alongside the standard one — not a revision of the standard coding.</w:t>
      </w:r>
    </w:p>
    <w:p>
      <w:pPr>
        <w:pStyle w:val="Heading1"/>
        <w:spacing w:before="360" w:after="200"/>
        <w:jc w:val="left"/>
        <w:rPr/>
      </w:pPr>
      <w:r>
        <w:rPr>
          <w:rFonts w:eastAsia="Times New Roman" w:cs="Times New Roman" w:ascii="Times New Roman" w:hAnsi="Times New Roman"/>
          <w:b/>
          <w:bCs/>
          <w:sz w:val="32"/>
          <w:szCs w:val="32"/>
        </w:rPr>
        <w:t>IX.3. Philosophical questions</w:t>
      </w:r>
    </w:p>
    <w:p>
      <w:pPr>
        <w:pStyle w:val="Heading3"/>
        <w:spacing w:before="220" w:after="120"/>
        <w:jc w:val="left"/>
        <w:rPr/>
      </w:pPr>
      <w:r>
        <w:rPr>
          <w:rFonts w:eastAsia="Times New Roman" w:cs="Times New Roman" w:ascii="Times New Roman" w:hAnsi="Times New Roman"/>
          <w:b/>
          <w:bCs/>
          <w:sz w:val="25"/>
          <w:szCs w:val="25"/>
        </w:rPr>
        <w:t>Question 1: The nature of "action"</w:t>
      </w:r>
    </w:p>
    <w:p>
      <w:pPr>
        <w:pStyle w:val="Normal"/>
        <w:spacing w:lineRule="exact" w:line="312" w:before="0" w:after="120"/>
        <w:jc w:val="both"/>
        <w:rPr/>
      </w:pPr>
      <w:r>
        <w:rPr>
          <w:rFonts w:eastAsia="Times New Roman" w:cs="Times New Roman"/>
          <w:sz w:val="24"/>
          <w:szCs w:val="24"/>
        </w:rPr>
        <w:t>The slogan "only ∅ is, all else is doing" appeals to the notion of "action" as a fundamental ontological modality. In Part VIII this was indicated as a parallel to Whitehead's process ontology, but it was not developed in full.</w:t>
      </w:r>
    </w:p>
    <w:p>
      <w:pPr>
        <w:pStyle w:val="Normal"/>
        <w:spacing w:lineRule="exact" w:line="312" w:before="0" w:after="120"/>
        <w:jc w:val="both"/>
        <w:rPr/>
      </w:pPr>
      <w:r>
        <w:rPr>
          <w:rFonts w:eastAsia="Times New Roman" w:cs="Times New Roman"/>
          <w:sz w:val="24"/>
          <w:szCs w:val="24"/>
        </w:rPr>
        <w:t>Open questions:</w:t>
      </w:r>
    </w:p>
    <w:p>
      <w:pPr>
        <w:pStyle w:val="Normal"/>
        <w:spacing w:lineRule="exact" w:line="312" w:before="0" w:after="80"/>
        <w:ind w:left="360"/>
        <w:jc w:val="both"/>
        <w:rPr/>
      </w:pPr>
      <w:r>
        <w:rPr>
          <w:rFonts w:eastAsia="Times New Roman" w:cs="Times New Roman"/>
          <w:sz w:val="24"/>
          <w:szCs w:val="24"/>
        </w:rPr>
        <w:t>(a) What does "action" mean in the VR-Sets ontology, given that time does not enter it? Operational functionalities are integral objects (Part IV §IV.1), not temporal processes. Then "action" is what?</w:t>
      </w:r>
    </w:p>
    <w:p>
      <w:pPr>
        <w:pStyle w:val="Normal"/>
        <w:spacing w:lineRule="exact" w:line="312" w:before="0" w:after="80"/>
        <w:ind w:left="360"/>
        <w:jc w:val="both"/>
        <w:rPr/>
      </w:pPr>
      <w:r>
        <w:rPr>
          <w:rFonts w:eastAsia="Times New Roman" w:cs="Times New Roman"/>
          <w:sz w:val="24"/>
          <w:szCs w:val="24"/>
        </w:rPr>
        <w:t>(b) Can "action" be more ontologically fundamental than "object"? If so, this requires serious philosophical work not carried out in the preprint.</w:t>
      </w:r>
    </w:p>
    <w:p>
      <w:pPr>
        <w:pStyle w:val="Normal"/>
        <w:spacing w:lineRule="exact" w:line="312" w:before="0" w:after="80"/>
        <w:ind w:left="360"/>
        <w:jc w:val="both"/>
        <w:rPr/>
      </w:pPr>
      <w:r>
        <w:rPr>
          <w:rFonts w:eastAsia="Times New Roman" w:cs="Times New Roman"/>
          <w:sz w:val="24"/>
          <w:szCs w:val="24"/>
        </w:rPr>
        <w:t>(c) The relation to other ontologies of action (Heraclitus, Bergson, Whitehead, process theology) is an open philosophical direction.</w:t>
      </w:r>
    </w:p>
    <w:p>
      <w:pPr>
        <w:pStyle w:val="Heading3"/>
        <w:spacing w:before="220" w:after="120"/>
        <w:jc w:val="left"/>
        <w:rPr/>
      </w:pPr>
      <w:r>
        <w:rPr>
          <w:rFonts w:eastAsia="Times New Roman" w:cs="Times New Roman" w:ascii="Times New Roman" w:hAnsi="Times New Roman"/>
          <w:b/>
          <w:bCs/>
          <w:sz w:val="25"/>
          <w:szCs w:val="25"/>
        </w:rPr>
        <w:t>Question 2: The status of Conjectures IV.1 and IV.2</w:t>
      </w:r>
    </w:p>
    <w:p>
      <w:pPr>
        <w:pStyle w:val="Normal"/>
        <w:spacing w:lineRule="exact" w:line="312" w:before="0" w:after="120"/>
        <w:jc w:val="both"/>
        <w:rPr/>
      </w:pPr>
      <w:r>
        <w:rPr>
          <w:rFonts w:eastAsia="Times New Roman" w:cs="Times New Roman"/>
          <w:sz w:val="24"/>
          <w:szCs w:val="24"/>
        </w:rPr>
        <w:t xml:space="preserve">Should Conjectures IV.1 and IV.2 turn out to be false — that is, should VR-Sets prove to be substantively </w:t>
      </w:r>
      <w:r>
        <w:rPr>
          <w:rFonts w:eastAsia="Times New Roman" w:cs="Times New Roman"/>
          <w:b/>
          <w:bCs/>
          <w:sz w:val="24"/>
          <w:szCs w:val="24"/>
        </w:rPr>
        <w:t>not</w:t>
      </w:r>
      <w:r>
        <w:rPr>
          <w:rFonts w:eastAsia="Times New Roman" w:cs="Times New Roman"/>
          <w:sz w:val="24"/>
          <w:szCs w:val="24"/>
        </w:rPr>
        <w:t xml:space="preserve"> equivalent to any countable model of ZFC or AFA — this would be a substantive result. It would mean that the operational ontology yields its own mathematical structure, irreducible to the classical. Open question: to what then does the ZFC-mode of VR-Sets correspond, if not to a countable model of ZFC?</w:t>
      </w:r>
    </w:p>
    <w:p>
      <w:pPr>
        <w:pStyle w:val="Normal"/>
        <w:spacing w:lineRule="exact" w:line="312" w:before="0" w:after="120"/>
        <w:jc w:val="both"/>
        <w:rPr/>
      </w:pPr>
      <w:r>
        <w:rPr>
          <w:rFonts w:eastAsia="Times New Roman" w:cs="Times New Roman"/>
          <w:sz w:val="24"/>
          <w:szCs w:val="24"/>
        </w:rPr>
        <w:t>This question is not technical but substantive: it bears on the extent to which VR-Sets is its "own" theory and the extent to which it is a reformulation of the known.</w:t>
      </w:r>
    </w:p>
    <w:p>
      <w:pPr>
        <w:pStyle w:val="Heading3"/>
        <w:spacing w:before="220" w:after="120"/>
        <w:jc w:val="left"/>
        <w:rPr/>
      </w:pPr>
      <w:r>
        <w:rPr>
          <w:rFonts w:eastAsia="Times New Roman" w:cs="Times New Roman" w:ascii="Times New Roman" w:hAnsi="Times New Roman"/>
          <w:b/>
          <w:bCs/>
          <w:sz w:val="25"/>
          <w:szCs w:val="25"/>
        </w:rPr>
        <w:t>Question 3: Applicability to physics</w:t>
      </w:r>
    </w:p>
    <w:p>
      <w:pPr>
        <w:pStyle w:val="Normal"/>
        <w:spacing w:lineRule="exact" w:line="312" w:before="0" w:after="120"/>
        <w:jc w:val="both"/>
        <w:rPr/>
      </w:pPr>
      <w:r>
        <w:rPr>
          <w:rFonts w:eastAsia="Times New Roman" w:cs="Times New Roman"/>
          <w:sz w:val="24"/>
          <w:szCs w:val="24"/>
        </w:rPr>
        <w:t>VR-Numbers (Reznik 2026) discussed possible connections with physics — through ℂ as the natural algebra of quantum mechanics. VR-Sets potentially deepens this connection: a countable operational ontology may be a suitable frame for discussing quantum states as operational descriptions of observables.</w:t>
      </w:r>
    </w:p>
    <w:p>
      <w:pPr>
        <w:pStyle w:val="Normal"/>
        <w:spacing w:lineRule="exact" w:line="312" w:before="0" w:after="120"/>
        <w:jc w:val="both"/>
        <w:rPr/>
      </w:pPr>
      <w:r>
        <w:rPr>
          <w:rFonts w:eastAsia="Times New Roman" w:cs="Times New Roman"/>
          <w:sz w:val="24"/>
          <w:szCs w:val="24"/>
        </w:rPr>
        <w:t>Open direction: is the VR-Sets ontology compatible with the structure of Hilbert space used in quantum mechanics? Hilbert space is classically uncountable; computable Hilbert space (as in computable analysis) is countable. If physics in reality works only with computable states, VR-Sets is a natural ontological frame for quantum mechanics.</w:t>
      </w:r>
    </w:p>
    <w:p>
      <w:pPr>
        <w:pStyle w:val="Normal"/>
        <w:spacing w:lineRule="exact" w:line="312" w:before="0" w:after="120"/>
        <w:jc w:val="both"/>
        <w:rPr/>
      </w:pPr>
      <w:r>
        <w:rPr>
          <w:rFonts w:eastAsia="Times New Roman" w:cs="Times New Roman"/>
          <w:sz w:val="24"/>
          <w:szCs w:val="24"/>
        </w:rPr>
        <w:t>This is a speculative direction not developed in the preprint; it is mentioned here as one of the promising areas of application.</w:t>
      </w:r>
    </w:p>
    <w:p>
      <w:pPr>
        <w:pStyle w:val="Heading3"/>
        <w:spacing w:before="220" w:after="120"/>
        <w:jc w:val="left"/>
        <w:rPr/>
      </w:pPr>
      <w:r>
        <w:rPr>
          <w:rFonts w:eastAsia="Times New Roman" w:cs="Times New Roman" w:ascii="Times New Roman" w:hAnsi="Times New Roman"/>
          <w:b/>
          <w:bCs/>
          <w:sz w:val="25"/>
          <w:szCs w:val="25"/>
        </w:rPr>
        <w:t>Question 4: Relation to the VR programme as a whole</w:t>
      </w:r>
    </w:p>
    <w:p>
      <w:pPr>
        <w:pStyle w:val="Normal"/>
        <w:spacing w:lineRule="exact" w:line="312" w:before="0" w:after="120"/>
        <w:jc w:val="both"/>
        <w:rPr/>
      </w:pPr>
      <w:r>
        <w:rPr>
          <w:rFonts w:eastAsia="Times New Roman" w:cs="Times New Roman"/>
          <w:sz w:val="24"/>
          <w:szCs w:val="24"/>
        </w:rPr>
        <w:t xml:space="preserve">The cycle of works — VR. A Formal System, VR-Numbers, VR-Sets — is built as an ascending sequence: from arithmetic through numerical extensions to set theory. Open question: what is the </w:t>
      </w:r>
      <w:r>
        <w:rPr>
          <w:rFonts w:eastAsia="Times New Roman" w:cs="Times New Roman"/>
          <w:i/>
          <w:iCs/>
          <w:sz w:val="24"/>
          <w:szCs w:val="24"/>
        </w:rPr>
        <w:t>next</w:t>
      </w:r>
      <w:r>
        <w:rPr>
          <w:rFonts w:eastAsia="Times New Roman" w:cs="Times New Roman"/>
          <w:sz w:val="24"/>
          <w:szCs w:val="24"/>
        </w:rPr>
        <w:t xml:space="preserve"> work in the cycle?</w:t>
      </w:r>
    </w:p>
    <w:p>
      <w:pPr>
        <w:pStyle w:val="Normal"/>
        <w:spacing w:lineRule="exact" w:line="312" w:before="0" w:after="120"/>
        <w:jc w:val="both"/>
        <w:rPr/>
      </w:pPr>
      <w:r>
        <w:rPr>
          <w:rFonts w:eastAsia="Times New Roman" w:cs="Times New Roman"/>
          <w:sz w:val="24"/>
          <w:szCs w:val="24"/>
        </w:rPr>
        <w:t>Possible candidates:</w:t>
      </w:r>
    </w:p>
    <w:p>
      <w:pPr>
        <w:pStyle w:val="Normal"/>
        <w:spacing w:lineRule="exact" w:line="312" w:before="0" w:after="80"/>
        <w:ind w:left="360"/>
        <w:jc w:val="both"/>
        <w:rPr/>
      </w:pPr>
      <w:r>
        <w:rPr>
          <w:rFonts w:eastAsia="Times New Roman" w:cs="Times New Roman"/>
          <w:sz w:val="24"/>
          <w:szCs w:val="24"/>
        </w:rPr>
        <w:t xml:space="preserve">(a) </w:t>
      </w:r>
      <w:r>
        <w:rPr>
          <w:rFonts w:eastAsia="Times New Roman" w:cs="Times New Roman"/>
          <w:b/>
          <w:bCs/>
          <w:sz w:val="24"/>
          <w:szCs w:val="24"/>
        </w:rPr>
        <w:t>VR-Analysis</w:t>
      </w:r>
      <w:r>
        <w:rPr>
          <w:rFonts w:eastAsia="Times New Roman" w:cs="Times New Roman"/>
          <w:sz w:val="24"/>
          <w:szCs w:val="24"/>
        </w:rPr>
        <w:t xml:space="preserve"> — operational analysis on ℝ</w:t>
      </w:r>
      <w:r>
        <w:rPr>
          <w:rFonts w:eastAsia="Times New Roman" w:cs="Times New Roman"/>
          <w:sz w:val="18"/>
          <w:szCs w:val="18"/>
          <w:vertAlign w:val="subscript"/>
        </w:rPr>
        <w:t>VR-Sets</w:t>
      </w:r>
      <w:r>
        <w:rPr>
          <w:rFonts w:eastAsia="Times New Roman" w:cs="Times New Roman"/>
          <w:sz w:val="24"/>
          <w:szCs w:val="24"/>
        </w:rPr>
        <w:t>.</w:t>
      </w:r>
    </w:p>
    <w:p>
      <w:pPr>
        <w:pStyle w:val="Normal"/>
        <w:spacing w:lineRule="exact" w:line="312" w:before="0" w:after="80"/>
        <w:ind w:left="360"/>
        <w:jc w:val="both"/>
        <w:rPr/>
      </w:pPr>
      <w:r>
        <w:rPr>
          <w:rFonts w:eastAsia="Times New Roman" w:cs="Times New Roman"/>
          <w:sz w:val="24"/>
          <w:szCs w:val="24"/>
        </w:rPr>
        <w:t xml:space="preserve">(b) </w:t>
      </w:r>
      <w:r>
        <w:rPr>
          <w:rFonts w:eastAsia="Times New Roman" w:cs="Times New Roman"/>
          <w:b/>
          <w:bCs/>
          <w:sz w:val="24"/>
          <w:szCs w:val="24"/>
        </w:rPr>
        <w:t>VR-Categories</w:t>
      </w:r>
      <w:r>
        <w:rPr>
          <w:rFonts w:eastAsia="Times New Roman" w:cs="Times New Roman"/>
          <w:sz w:val="24"/>
          <w:szCs w:val="24"/>
        </w:rPr>
        <w:t xml:space="preserve"> — a categorical reconception of the cycle, with connections to topoi and HoTT.</w:t>
      </w:r>
    </w:p>
    <w:p>
      <w:pPr>
        <w:pStyle w:val="Normal"/>
        <w:spacing w:lineRule="exact" w:line="312" w:before="0" w:after="80"/>
        <w:ind w:left="360"/>
        <w:jc w:val="both"/>
        <w:rPr/>
      </w:pPr>
      <w:r>
        <w:rPr>
          <w:rFonts w:eastAsia="Times New Roman" w:cs="Times New Roman"/>
          <w:sz w:val="24"/>
          <w:szCs w:val="24"/>
        </w:rPr>
        <w:t xml:space="preserve">(c) </w:t>
      </w:r>
      <w:r>
        <w:rPr>
          <w:rFonts w:eastAsia="Times New Roman" w:cs="Times New Roman"/>
          <w:b/>
          <w:bCs/>
          <w:sz w:val="24"/>
          <w:szCs w:val="24"/>
        </w:rPr>
        <w:t>VR-Physics</w:t>
      </w:r>
      <w:r>
        <w:rPr>
          <w:rFonts w:eastAsia="Times New Roman" w:cs="Times New Roman"/>
          <w:sz w:val="24"/>
          <w:szCs w:val="24"/>
        </w:rPr>
        <w:t xml:space="preserve"> — an operational reformulation of the foundations of physics.</w:t>
      </w:r>
    </w:p>
    <w:p>
      <w:pPr>
        <w:pStyle w:val="Normal"/>
        <w:spacing w:lineRule="exact" w:line="312" w:before="0" w:after="80"/>
        <w:ind w:left="360"/>
        <w:jc w:val="both"/>
        <w:rPr/>
      </w:pPr>
      <w:r>
        <w:rPr>
          <w:rFonts w:eastAsia="Times New Roman" w:cs="Times New Roman"/>
          <w:sz w:val="24"/>
          <w:szCs w:val="24"/>
        </w:rPr>
        <w:t xml:space="preserve">(d) </w:t>
      </w:r>
      <w:r>
        <w:rPr>
          <w:rFonts w:eastAsia="Times New Roman" w:cs="Times New Roman"/>
          <w:b/>
          <w:bCs/>
          <w:sz w:val="24"/>
          <w:szCs w:val="24"/>
        </w:rPr>
        <w:t>VR-Logic</w:t>
      </w:r>
      <w:r>
        <w:rPr>
          <w:rFonts w:eastAsia="Times New Roman" w:cs="Times New Roman"/>
          <w:sz w:val="24"/>
          <w:szCs w:val="24"/>
        </w:rPr>
        <w:t xml:space="preserve"> — an extension of the basic logic of VR (two-valued classical) to intuitionistic, modal, or linear operational logics.</w:t>
      </w:r>
    </w:p>
    <w:p>
      <w:pPr>
        <w:pStyle w:val="Normal"/>
        <w:spacing w:lineRule="exact" w:line="312" w:before="0" w:after="120"/>
        <w:jc w:val="both"/>
        <w:rPr/>
      </w:pPr>
      <w:r>
        <w:rPr>
          <w:rFonts w:eastAsia="Times New Roman" w:cs="Times New Roman"/>
          <w:sz w:val="24"/>
          <w:szCs w:val="24"/>
        </w:rPr>
        <w:t>The choice of the next work is a substantive question depending on which direction proves most fruitful.</w:t>
      </w:r>
    </w:p>
    <w:p>
      <w:pPr>
        <w:pStyle w:val="Heading1"/>
        <w:spacing w:before="360" w:after="200"/>
        <w:jc w:val="left"/>
        <w:rPr/>
      </w:pPr>
      <w:r>
        <w:rPr>
          <w:rFonts w:eastAsia="Times New Roman" w:cs="Times New Roman" w:ascii="Times New Roman" w:hAnsi="Times New Roman"/>
          <w:b/>
          <w:bCs/>
          <w:sz w:val="32"/>
          <w:szCs w:val="32"/>
        </w:rPr>
        <w:t>IX.4. Conclusion</w:t>
      </w:r>
    </w:p>
    <w:p>
      <w:pPr>
        <w:pStyle w:val="Normal"/>
        <w:spacing w:lineRule="exact" w:line="312" w:before="0" w:after="120"/>
        <w:jc w:val="both"/>
        <w:rPr/>
      </w:pPr>
      <w:r>
        <w:rPr>
          <w:rFonts w:eastAsia="Times New Roman" w:cs="Times New Roman"/>
          <w:sz w:val="24"/>
          <w:szCs w:val="24"/>
        </w:rPr>
        <w:t>The VR-Sets preprint, consisting of nine parts, has set out an operational theory of sets based on the single ontological primitive ∅. The principal results:</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b/>
          <w:bCs/>
          <w:sz w:val="24"/>
          <w:szCs w:val="24"/>
        </w:rPr>
        <w:t>The ontological foundation</w:t>
      </w:r>
      <w:r>
        <w:rPr>
          <w:rFonts w:eastAsia="Times New Roman" w:cs="Times New Roman"/>
          <w:sz w:val="24"/>
          <w:szCs w:val="24"/>
        </w:rPr>
        <w:t xml:space="preserve"> (Parts I, II, VIII): a set is an operational functionality; membership is reference, not containment; operationality is derivative action upon ∅, not a self-standing kind of being.</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b/>
          <w:bCs/>
          <w:sz w:val="24"/>
          <w:szCs w:val="24"/>
        </w:rPr>
        <w:t>The closure principle</w:t>
      </w:r>
      <w:r>
        <w:rPr>
          <w:rFonts w:eastAsia="Times New Roman" w:cs="Times New Roman"/>
          <w:sz w:val="24"/>
          <w:szCs w:val="24"/>
        </w:rPr>
        <w:t xml:space="preserve"> (Part II §II.3): the operational replacement for the axioms of existence. Every describable functionality is a set; paradoxical descriptions do not specify functionalities.</w:t>
      </w:r>
    </w:p>
    <w:p>
      <w:pPr>
        <w:pStyle w:val="Normal"/>
        <w:spacing w:lineRule="exact" w:line="312" w:before="0" w:after="80"/>
        <w:ind w:left="360"/>
        <w:jc w:val="both"/>
        <w:rPr/>
      </w:pPr>
      <w:r>
        <w:rPr>
          <w:rFonts w:eastAsia="Times New Roman" w:cs="Times New Roman"/>
          <w:sz w:val="24"/>
          <w:szCs w:val="24"/>
        </w:rPr>
        <w:t xml:space="preserve">(3) </w:t>
      </w:r>
      <w:r>
        <w:rPr>
          <w:rFonts w:eastAsia="Times New Roman" w:cs="Times New Roman"/>
          <w:b/>
          <w:bCs/>
          <w:sz w:val="24"/>
          <w:szCs w:val="24"/>
        </w:rPr>
        <w:t>The ZF axioms as theorems</w:t>
      </w:r>
      <w:r>
        <w:rPr>
          <w:rFonts w:eastAsia="Times New Roman" w:cs="Times New Roman"/>
          <w:sz w:val="24"/>
          <w:szCs w:val="24"/>
        </w:rPr>
        <w:t xml:space="preserve"> (Part III): all nine ZF axioms + AC have been derived through the closure principle. Three key divergences from classical ZF: ℘(ω) is countable; the replacement schema becomes a single theorem; foundation is a mode-dependent property.</w:t>
      </w:r>
    </w:p>
    <w:p>
      <w:pPr>
        <w:pStyle w:val="Normal"/>
        <w:spacing w:lineRule="exact" w:line="312" w:before="0" w:after="80"/>
        <w:ind w:left="360"/>
        <w:jc w:val="both"/>
        <w:rPr/>
      </w:pPr>
      <w:r>
        <w:rPr>
          <w:rFonts w:eastAsia="Times New Roman" w:cs="Times New Roman"/>
          <w:sz w:val="24"/>
          <w:szCs w:val="24"/>
        </w:rPr>
        <w:t xml:space="preserve">(4) </w:t>
      </w:r>
      <w:r>
        <w:rPr>
          <w:rFonts w:eastAsia="Times New Roman" w:cs="Times New Roman"/>
          <w:b/>
          <w:bCs/>
          <w:sz w:val="24"/>
          <w:szCs w:val="24"/>
        </w:rPr>
        <w:t>The two modes</w:t>
      </w:r>
      <w:r>
        <w:rPr>
          <w:rFonts w:eastAsia="Times New Roman" w:cs="Times New Roman"/>
          <w:sz w:val="24"/>
          <w:szCs w:val="24"/>
        </w:rPr>
        <w:t xml:space="preserve"> (Part IV): the ZFC-mode (well-founded functionalities) and the ZFA-mode (all describable). The distinction is structural, not temporal. Conjectures of equivalence with the classical theories via a countable model.</w:t>
      </w:r>
    </w:p>
    <w:p>
      <w:pPr>
        <w:pStyle w:val="Normal"/>
        <w:spacing w:lineRule="exact" w:line="312" w:before="0" w:after="80"/>
        <w:ind w:left="360"/>
        <w:jc w:val="both"/>
        <w:rPr/>
      </w:pPr>
      <w:r>
        <w:rPr>
          <w:rFonts w:eastAsia="Times New Roman" w:cs="Times New Roman"/>
          <w:sz w:val="24"/>
          <w:szCs w:val="24"/>
        </w:rPr>
        <w:t xml:space="preserve">(5) </w:t>
      </w:r>
      <w:r>
        <w:rPr>
          <w:rFonts w:eastAsia="Times New Roman" w:cs="Times New Roman"/>
          <w:b/>
          <w:bCs/>
          <w:sz w:val="24"/>
          <w:szCs w:val="24"/>
        </w:rPr>
        <w:t>VR numbers in VR-Sets</w:t>
      </w:r>
      <w:r>
        <w:rPr>
          <w:rFonts w:eastAsia="Times New Roman" w:cs="Times New Roman"/>
          <w:sz w:val="24"/>
          <w:szCs w:val="24"/>
        </w:rPr>
        <w:t xml:space="preserve"> (Part V): von Neumann ordinals as specific well-founded sets; arithmetic inherited without re-proof.</w:t>
      </w:r>
    </w:p>
    <w:p>
      <w:pPr>
        <w:pStyle w:val="Normal"/>
        <w:spacing w:lineRule="exact" w:line="312" w:before="0" w:after="80"/>
        <w:ind w:left="360"/>
        <w:jc w:val="both"/>
        <w:rPr/>
      </w:pPr>
      <w:r>
        <w:rPr>
          <w:rFonts w:eastAsia="Times New Roman" w:cs="Times New Roman"/>
          <w:sz w:val="24"/>
          <w:szCs w:val="24"/>
        </w:rPr>
        <w:t xml:space="preserve">(6) </w:t>
      </w:r>
      <w:r>
        <w:rPr>
          <w:rFonts w:eastAsia="Times New Roman" w:cs="Times New Roman"/>
          <w:b/>
          <w:bCs/>
          <w:sz w:val="24"/>
          <w:szCs w:val="24"/>
        </w:rPr>
        <w:t>Cardinality</w:t>
      </w:r>
      <w:r>
        <w:rPr>
          <w:rFonts w:eastAsia="Times New Roman" w:cs="Times New Roman"/>
          <w:sz w:val="24"/>
          <w:szCs w:val="24"/>
        </w:rPr>
        <w:t xml:space="preserve"> (Part VI): countability of the entire operational universe; Cantor's diagonal does not operate; AC is a theorem; absence of Banach–Tarski.</w:t>
      </w:r>
    </w:p>
    <w:p>
      <w:pPr>
        <w:pStyle w:val="Normal"/>
        <w:spacing w:lineRule="exact" w:line="312" w:before="0" w:after="80"/>
        <w:ind w:left="360"/>
        <w:jc w:val="both"/>
        <w:rPr/>
      </w:pPr>
      <w:r>
        <w:rPr>
          <w:rFonts w:eastAsia="Times New Roman" w:cs="Times New Roman"/>
          <w:sz w:val="24"/>
          <w:szCs w:val="24"/>
        </w:rPr>
        <w:t xml:space="preserve">(7) </w:t>
      </w:r>
      <w:r>
        <w:rPr>
          <w:rFonts w:eastAsia="Times New Roman" w:cs="Times New Roman"/>
          <w:b/>
          <w:bCs/>
          <w:sz w:val="24"/>
          <w:szCs w:val="24"/>
        </w:rPr>
        <w:t>Truth and self-reference</w:t>
      </w:r>
      <w:r>
        <w:rPr>
          <w:rFonts w:eastAsia="Times New Roman" w:cs="Times New Roman"/>
          <w:sz w:val="24"/>
          <w:szCs w:val="24"/>
        </w:rPr>
        <w:t xml:space="preserve"> (Part VII): a cautious reformulation of Tarski's hierarchy through the successor operator t. Not a resolution but an operational interpretation.</w:t>
      </w:r>
    </w:p>
    <w:p>
      <w:pPr>
        <w:pStyle w:val="Normal"/>
        <w:spacing w:lineRule="exact" w:line="312" w:before="0" w:after="120"/>
        <w:jc w:val="both"/>
        <w:rPr/>
      </w:pPr>
      <w:r>
        <w:rPr>
          <w:rFonts w:eastAsia="Times New Roman" w:cs="Times New Roman"/>
          <w:b/>
          <w:bCs/>
          <w:sz w:val="24"/>
          <w:szCs w:val="24"/>
        </w:rPr>
        <w:t>The position of VR-Sets in the spectrum of foundations of mathematics.</w:t>
      </w:r>
      <w:r>
        <w:rPr>
          <w:rFonts w:eastAsia="Times New Roman" w:cs="Times New Roman"/>
          <w:sz w:val="24"/>
          <w:szCs w:val="24"/>
        </w:rPr>
        <w:t xml:space="preserve"> VR-Sets is an operationalist position located between formalism and constructivism, closer to computable analysis and predicativism than to Platonism. It does not claim to replace classical ZFC, but provides an alternative ontological frame for mathematics in which every object may be exhibited operationally.</w:t>
      </w:r>
    </w:p>
    <w:p>
      <w:pPr>
        <w:pStyle w:val="Normal"/>
        <w:spacing w:lineRule="exact" w:line="312" w:before="0" w:after="120"/>
        <w:jc w:val="both"/>
        <w:rPr/>
      </w:pPr>
      <w:r>
        <w:rPr>
          <w:rFonts w:eastAsia="Times New Roman" w:cs="Times New Roman"/>
          <w:b/>
          <w:bCs/>
          <w:sz w:val="24"/>
          <w:szCs w:val="24"/>
        </w:rPr>
        <w:t>The principal substantive achievement</w:t>
      </w:r>
      <w:r>
        <w:rPr>
          <w:rFonts w:eastAsia="Times New Roman" w:cs="Times New Roman"/>
          <w:sz w:val="24"/>
          <w:szCs w:val="24"/>
        </w:rPr>
        <w:t xml:space="preserve"> is the demonstration that ontological minimalism ("only ∅ is, all else is doing") applied to sets yields a coherent, technically workable, and philosophically transparent theory, encompassing the greater part of substantive mathematics and dissolving classical paradoxes (Russell, Banach–Tarski, partially the Liar) ontologically rather than syntactically.</w:t>
      </w:r>
    </w:p>
    <w:p>
      <w:pPr>
        <w:pStyle w:val="Normal"/>
        <w:spacing w:lineRule="exact" w:line="312" w:before="0" w:after="120"/>
        <w:jc w:val="both"/>
        <w:rPr/>
      </w:pPr>
      <w:r>
        <w:rPr>
          <w:rFonts w:eastAsia="Times New Roman" w:cs="Times New Roman"/>
          <w:b/>
          <w:bCs/>
          <w:sz w:val="24"/>
          <w:szCs w:val="24"/>
        </w:rPr>
        <w:t>The open questions</w:t>
      </w:r>
      <w:r>
        <w:rPr>
          <w:rFonts w:eastAsia="Times New Roman" w:cs="Times New Roman"/>
          <w:sz w:val="24"/>
          <w:szCs w:val="24"/>
        </w:rPr>
        <w:t xml:space="preserve"> gathered in this part indicate directions for further work — technical (formalisation in Lean, proofs of conjectures, precise characterisation of describability), substantive (connection with topoi, HoTT, extensions), and philosophical (the nature of "action," the next work in the VR cycle). Each of these directions is fruitful as an independent programme.</w:t>
      </w:r>
    </w:p>
    <w:p>
      <w:pPr>
        <w:pStyle w:val="Normal"/>
        <w:spacing w:lineRule="exact" w:line="312" w:before="0" w:after="120"/>
        <w:jc w:val="both"/>
        <w:rPr/>
      </w:pPr>
      <w:r>
        <w:rPr>
          <w:rFonts w:eastAsia="Times New Roman" w:cs="Times New Roman"/>
          <w:sz w:val="24"/>
          <w:szCs w:val="24"/>
        </w:rPr>
        <w:t>Closing the preprint, we repeat the slogan of the cycle:</w:t>
      </w:r>
    </w:p>
    <w:p>
      <w:pPr>
        <w:pStyle w:val="Normal"/>
        <w:spacing w:lineRule="exact" w:line="312" w:before="240" w:after="240"/>
        <w:jc w:val="center"/>
        <w:rPr/>
      </w:pPr>
      <w:r>
        <w:rPr>
          <w:rFonts w:eastAsia="Times New Roman" w:cs="Times New Roman"/>
          <w:i/>
          <w:iCs/>
          <w:sz w:val="28"/>
          <w:szCs w:val="28"/>
        </w:rPr>
        <w:t>"Only ∅ is — all else is doing."</w:t>
      </w:r>
    </w:p>
    <w:p>
      <w:pPr>
        <w:pStyle w:val="Normal"/>
        <w:spacing w:lineRule="exact" w:line="312" w:before="0" w:after="120"/>
        <w:jc w:val="both"/>
        <w:rPr/>
      </w:pPr>
      <w:r>
        <w:rPr>
          <w:rFonts w:eastAsia="Times New Roman" w:cs="Times New Roman"/>
          <w:sz w:val="24"/>
          <w:szCs w:val="24"/>
        </w:rPr>
        <w:t>Applied to sets: ∅ is ontologically primary; everything else is operational action, describable by finite procedures, unfolding into a countable, transparent, coherent mathematical universe. This universe is VR-Sets.</w:t>
      </w:r>
    </w:p>
    <w:p>
      <w:pPr>
        <w:pStyle w:val="Heading1"/>
        <w:spacing w:before="360" w:after="200"/>
        <w:jc w:val="left"/>
        <w:rPr/>
      </w:pPr>
      <w:r>
        <w:rPr>
          <w:rFonts w:eastAsia="Times New Roman" w:cs="Times New Roman" w:ascii="Times New Roman" w:hAnsi="Times New Roman"/>
          <w:b/>
          <w:bCs/>
          <w:sz w:val="32"/>
          <w:szCs w:val="32"/>
        </w:rPr>
        <w:t>References</w:t>
      </w:r>
    </w:p>
    <w:p>
      <w:pPr>
        <w:pStyle w:val="Normal"/>
        <w:spacing w:lineRule="exact" w:line="280" w:before="0" w:after="120"/>
        <w:ind w:hanging="720" w:left="720"/>
        <w:jc w:val="both"/>
        <w:rPr/>
      </w:pPr>
      <w:r>
        <w:rPr>
          <w:rFonts w:eastAsia="Times New Roman" w:cs="Times New Roman"/>
          <w:sz w:val="22"/>
          <w:szCs w:val="22"/>
        </w:rPr>
        <w:t xml:space="preserve">Aczel, P. (1988). </w:t>
      </w:r>
      <w:r>
        <w:rPr>
          <w:rFonts w:eastAsia="Times New Roman" w:cs="Times New Roman"/>
          <w:i/>
          <w:iCs/>
          <w:sz w:val="22"/>
          <w:szCs w:val="22"/>
        </w:rPr>
        <w:t>Non-Well-Founded Sets</w:t>
      </w:r>
      <w:r>
        <w:rPr>
          <w:rFonts w:eastAsia="Times New Roman" w:cs="Times New Roman"/>
          <w:sz w:val="22"/>
          <w:szCs w:val="22"/>
        </w:rPr>
        <w:t>. CSLI Lecture Notes, No. 14. Stanford: Center for the Study of Language and Information.</w:t>
      </w:r>
    </w:p>
    <w:p>
      <w:pPr>
        <w:pStyle w:val="Normal"/>
        <w:spacing w:lineRule="exact" w:line="280" w:before="0" w:after="120"/>
        <w:ind w:hanging="720" w:left="720"/>
        <w:jc w:val="both"/>
        <w:rPr/>
      </w:pPr>
      <w:r>
        <w:rPr>
          <w:rFonts w:eastAsia="Times New Roman" w:cs="Times New Roman"/>
          <w:sz w:val="22"/>
          <w:szCs w:val="22"/>
        </w:rPr>
        <w:t xml:space="preserve">Barwise, J., &amp; Moss, L. (1996). </w:t>
      </w:r>
      <w:r>
        <w:rPr>
          <w:rFonts w:eastAsia="Times New Roman" w:cs="Times New Roman"/>
          <w:i/>
          <w:iCs/>
          <w:sz w:val="22"/>
          <w:szCs w:val="22"/>
        </w:rPr>
        <w:t>Vicious Circles: On the Mathematics of Non-Wellfounded Phenomena</w:t>
      </w:r>
      <w:r>
        <w:rPr>
          <w:rFonts w:eastAsia="Times New Roman" w:cs="Times New Roman"/>
          <w:sz w:val="22"/>
          <w:szCs w:val="22"/>
        </w:rPr>
        <w:t>. CSLI Lecture Notes, No. 60. Stanford: Center for the Study of Language and Information.</w:t>
      </w:r>
    </w:p>
    <w:p>
      <w:pPr>
        <w:pStyle w:val="Normal"/>
        <w:spacing w:lineRule="exact" w:line="280" w:before="0" w:after="120"/>
        <w:ind w:hanging="720" w:left="720"/>
        <w:jc w:val="both"/>
        <w:rPr/>
      </w:pPr>
      <w:r>
        <w:rPr>
          <w:rFonts w:eastAsia="Times New Roman" w:cs="Times New Roman"/>
          <w:sz w:val="22"/>
          <w:szCs w:val="22"/>
        </w:rPr>
        <w:t xml:space="preserve">Benacerraf, P. (1965). What numbers could not be. </w:t>
      </w:r>
      <w:r>
        <w:rPr>
          <w:rFonts w:eastAsia="Times New Roman" w:cs="Times New Roman"/>
          <w:i/>
          <w:iCs/>
          <w:sz w:val="22"/>
          <w:szCs w:val="22"/>
        </w:rPr>
        <w:t>The Philosophical Review</w:t>
      </w:r>
      <w:r>
        <w:rPr>
          <w:rFonts w:eastAsia="Times New Roman" w:cs="Times New Roman"/>
          <w:sz w:val="22"/>
          <w:szCs w:val="22"/>
        </w:rPr>
        <w:t>, 74(1), 47–73.</w:t>
      </w:r>
    </w:p>
    <w:p>
      <w:pPr>
        <w:pStyle w:val="Normal"/>
        <w:spacing w:lineRule="exact" w:line="280" w:before="0" w:after="120"/>
        <w:ind w:hanging="720" w:left="720"/>
        <w:jc w:val="both"/>
        <w:rPr/>
      </w:pPr>
      <w:r>
        <w:rPr>
          <w:rFonts w:eastAsia="Times New Roman" w:cs="Times New Roman"/>
          <w:sz w:val="22"/>
          <w:szCs w:val="22"/>
        </w:rPr>
        <w:t xml:space="preserve">Bishop, E. (1967). </w:t>
      </w:r>
      <w:r>
        <w:rPr>
          <w:rFonts w:eastAsia="Times New Roman" w:cs="Times New Roman"/>
          <w:i/>
          <w:iCs/>
          <w:sz w:val="22"/>
          <w:szCs w:val="22"/>
        </w:rPr>
        <w:t>Foundations of Constructive Analysis</w:t>
      </w:r>
      <w:r>
        <w:rPr>
          <w:rFonts w:eastAsia="Times New Roman" w:cs="Times New Roman"/>
          <w:sz w:val="22"/>
          <w:szCs w:val="22"/>
        </w:rPr>
        <w:t>. New York: McGraw-Hill.</w:t>
      </w:r>
    </w:p>
    <w:p>
      <w:pPr>
        <w:pStyle w:val="Normal"/>
        <w:spacing w:lineRule="exact" w:line="280" w:before="0" w:after="120"/>
        <w:ind w:hanging="720" w:left="720"/>
        <w:jc w:val="both"/>
        <w:rPr/>
      </w:pPr>
      <w:r>
        <w:rPr>
          <w:rFonts w:eastAsia="Times New Roman" w:cs="Times New Roman"/>
          <w:sz w:val="22"/>
          <w:szCs w:val="22"/>
        </w:rPr>
        <w:t xml:space="preserve">Brouwer, L. E. J. (1907). </w:t>
      </w:r>
      <w:r>
        <w:rPr>
          <w:rFonts w:eastAsia="Times New Roman" w:cs="Times New Roman"/>
          <w:i/>
          <w:iCs/>
          <w:sz w:val="22"/>
          <w:szCs w:val="22"/>
        </w:rPr>
        <w:t>Over de Grondslagen der Wiskunde</w:t>
      </w:r>
      <w:r>
        <w:rPr>
          <w:rFonts w:eastAsia="Times New Roman" w:cs="Times New Roman"/>
          <w:sz w:val="22"/>
          <w:szCs w:val="22"/>
        </w:rPr>
        <w:t xml:space="preserve"> [On the Foundations of Mathematics]. Doctoral dissertation, University of Amsterdam.</w:t>
      </w:r>
    </w:p>
    <w:p>
      <w:pPr>
        <w:pStyle w:val="Normal"/>
        <w:spacing w:lineRule="exact" w:line="280" w:before="0" w:after="120"/>
        <w:ind w:hanging="720" w:left="720"/>
        <w:jc w:val="both"/>
        <w:rPr/>
      </w:pPr>
      <w:r>
        <w:rPr>
          <w:rFonts w:eastAsia="Times New Roman" w:cs="Times New Roman"/>
          <w:sz w:val="22"/>
          <w:szCs w:val="22"/>
        </w:rPr>
        <w:t xml:space="preserve">Cantor, G. (1891). Über eine elementare Frage der Mannigfaltigkeitslehre. </w:t>
      </w:r>
      <w:r>
        <w:rPr>
          <w:rFonts w:eastAsia="Times New Roman" w:cs="Times New Roman"/>
          <w:i/>
          <w:iCs/>
          <w:sz w:val="22"/>
          <w:szCs w:val="22"/>
        </w:rPr>
        <w:t>Jahresbericht der Deutschen Mathematiker-Vereinigung</w:t>
      </w:r>
      <w:r>
        <w:rPr>
          <w:rFonts w:eastAsia="Times New Roman" w:cs="Times New Roman"/>
          <w:sz w:val="22"/>
          <w:szCs w:val="22"/>
        </w:rPr>
        <w:t>, 1, 75–78.</w:t>
      </w:r>
    </w:p>
    <w:p>
      <w:pPr>
        <w:pStyle w:val="Normal"/>
        <w:spacing w:lineRule="exact" w:line="280" w:before="0" w:after="120"/>
        <w:ind w:hanging="720" w:left="720"/>
        <w:jc w:val="both"/>
        <w:rPr/>
      </w:pPr>
      <w:r>
        <w:rPr>
          <w:rFonts w:eastAsia="Times New Roman" w:cs="Times New Roman"/>
          <w:sz w:val="22"/>
          <w:szCs w:val="22"/>
        </w:rPr>
        <w:t xml:space="preserve">Feferman, S. (1964). Systems of predicative analysis. </w:t>
      </w:r>
      <w:r>
        <w:rPr>
          <w:rFonts w:eastAsia="Times New Roman" w:cs="Times New Roman"/>
          <w:i/>
          <w:iCs/>
          <w:sz w:val="22"/>
          <w:szCs w:val="22"/>
        </w:rPr>
        <w:t>The Journal of Symbolic Logic</w:t>
      </w:r>
      <w:r>
        <w:rPr>
          <w:rFonts w:eastAsia="Times New Roman" w:cs="Times New Roman"/>
          <w:sz w:val="22"/>
          <w:szCs w:val="22"/>
        </w:rPr>
        <w:t>, 29(1), 1–30.</w:t>
      </w:r>
    </w:p>
    <w:p>
      <w:pPr>
        <w:pStyle w:val="Normal"/>
        <w:spacing w:lineRule="exact" w:line="280" w:before="0" w:after="120"/>
        <w:ind w:hanging="720" w:left="720"/>
        <w:jc w:val="both"/>
        <w:rPr/>
      </w:pPr>
      <w:r>
        <w:rPr>
          <w:rFonts w:eastAsia="Times New Roman" w:cs="Times New Roman"/>
          <w:sz w:val="22"/>
          <w:szCs w:val="22"/>
        </w:rPr>
        <w:t xml:space="preserve">Gödel, K. (1944). Russell's mathematical logic. In P. A. Schilpp (Ed.), </w:t>
      </w:r>
      <w:r>
        <w:rPr>
          <w:rFonts w:eastAsia="Times New Roman" w:cs="Times New Roman"/>
          <w:i/>
          <w:iCs/>
          <w:sz w:val="22"/>
          <w:szCs w:val="22"/>
        </w:rPr>
        <w:t>The Philosophy of Bertrand Russell</w:t>
      </w:r>
      <w:r>
        <w:rPr>
          <w:rFonts w:eastAsia="Times New Roman" w:cs="Times New Roman"/>
          <w:sz w:val="22"/>
          <w:szCs w:val="22"/>
        </w:rPr>
        <w:t xml:space="preserve"> (pp. 123–153). Evanston: Northwestern University.</w:t>
      </w:r>
    </w:p>
    <w:p>
      <w:pPr>
        <w:pStyle w:val="Normal"/>
        <w:spacing w:lineRule="exact" w:line="280" w:before="0" w:after="120"/>
        <w:ind w:hanging="720" w:left="720"/>
        <w:jc w:val="both"/>
        <w:rPr/>
      </w:pPr>
      <w:r>
        <w:rPr>
          <w:rFonts w:eastAsia="Times New Roman" w:cs="Times New Roman"/>
          <w:sz w:val="22"/>
          <w:szCs w:val="22"/>
        </w:rPr>
        <w:t xml:space="preserve">Heyting, A. (1956). </w:t>
      </w:r>
      <w:r>
        <w:rPr>
          <w:rFonts w:eastAsia="Times New Roman" w:cs="Times New Roman"/>
          <w:i/>
          <w:iCs/>
          <w:sz w:val="22"/>
          <w:szCs w:val="22"/>
        </w:rPr>
        <w:t>Intuitionism: An Introduction</w:t>
      </w:r>
      <w:r>
        <w:rPr>
          <w:rFonts w:eastAsia="Times New Roman" w:cs="Times New Roman"/>
          <w:sz w:val="22"/>
          <w:szCs w:val="22"/>
        </w:rPr>
        <w:t>. Amsterdam: North-Holland.</w:t>
      </w:r>
    </w:p>
    <w:p>
      <w:pPr>
        <w:pStyle w:val="Normal"/>
        <w:spacing w:lineRule="exact" w:line="280" w:before="0" w:after="120"/>
        <w:ind w:hanging="720" w:left="720"/>
        <w:jc w:val="both"/>
        <w:rPr/>
      </w:pPr>
      <w:r>
        <w:rPr>
          <w:rFonts w:eastAsia="Times New Roman" w:cs="Times New Roman"/>
          <w:sz w:val="22"/>
          <w:szCs w:val="22"/>
        </w:rPr>
        <w:t xml:space="preserve">Hilbert, D. (1926). Über das Unendliche. </w:t>
      </w:r>
      <w:r>
        <w:rPr>
          <w:rFonts w:eastAsia="Times New Roman" w:cs="Times New Roman"/>
          <w:i/>
          <w:iCs/>
          <w:sz w:val="22"/>
          <w:szCs w:val="22"/>
        </w:rPr>
        <w:t>Mathematische Annalen</w:t>
      </w:r>
      <w:r>
        <w:rPr>
          <w:rFonts w:eastAsia="Times New Roman" w:cs="Times New Roman"/>
          <w:sz w:val="22"/>
          <w:szCs w:val="22"/>
        </w:rPr>
        <w:t>, 95(1), 161–190.</w:t>
      </w:r>
    </w:p>
    <w:p>
      <w:pPr>
        <w:pStyle w:val="Normal"/>
        <w:spacing w:lineRule="exact" w:line="280" w:before="0" w:after="120"/>
        <w:ind w:hanging="720" w:left="720"/>
        <w:jc w:val="both"/>
        <w:rPr/>
      </w:pPr>
      <w:r>
        <w:rPr>
          <w:rFonts w:eastAsia="Times New Roman" w:cs="Times New Roman"/>
          <w:sz w:val="22"/>
          <w:szCs w:val="22"/>
        </w:rPr>
        <w:t xml:space="preserve">Lawvere, F. W. (1964). An elementary theory of the category of sets. </w:t>
      </w:r>
      <w:r>
        <w:rPr>
          <w:rFonts w:eastAsia="Times New Roman" w:cs="Times New Roman"/>
          <w:i/>
          <w:iCs/>
          <w:sz w:val="22"/>
          <w:szCs w:val="22"/>
        </w:rPr>
        <w:t>Proceedings of the National Academy of Sciences</w:t>
      </w:r>
      <w:r>
        <w:rPr>
          <w:rFonts w:eastAsia="Times New Roman" w:cs="Times New Roman"/>
          <w:sz w:val="22"/>
          <w:szCs w:val="22"/>
        </w:rPr>
        <w:t>, 52(6), 1506–1511.</w:t>
      </w:r>
    </w:p>
    <w:p>
      <w:pPr>
        <w:pStyle w:val="Normal"/>
        <w:spacing w:lineRule="exact" w:line="280" w:before="0" w:after="120"/>
        <w:ind w:hanging="720" w:left="720"/>
        <w:jc w:val="both"/>
        <w:rPr/>
      </w:pPr>
      <w:r>
        <w:rPr>
          <w:rFonts w:eastAsia="Times New Roman" w:cs="Times New Roman"/>
          <w:sz w:val="22"/>
          <w:szCs w:val="22"/>
        </w:rPr>
        <w:t xml:space="preserve">Löwenheim, L. (1915). Über Möglichkeiten im Relativkalkül. </w:t>
      </w:r>
      <w:r>
        <w:rPr>
          <w:rFonts w:eastAsia="Times New Roman" w:cs="Times New Roman"/>
          <w:i/>
          <w:iCs/>
          <w:sz w:val="22"/>
          <w:szCs w:val="22"/>
        </w:rPr>
        <w:t>Mathematische Annalen</w:t>
      </w:r>
      <w:r>
        <w:rPr>
          <w:rFonts w:eastAsia="Times New Roman" w:cs="Times New Roman"/>
          <w:sz w:val="22"/>
          <w:szCs w:val="22"/>
        </w:rPr>
        <w:t>, 76(4), 447–470.</w:t>
      </w:r>
    </w:p>
    <w:p>
      <w:pPr>
        <w:pStyle w:val="Normal"/>
        <w:spacing w:lineRule="exact" w:line="280" w:before="0" w:after="120"/>
        <w:ind w:hanging="720" w:left="720"/>
        <w:jc w:val="both"/>
        <w:rPr/>
      </w:pPr>
      <w:r>
        <w:rPr>
          <w:rFonts w:eastAsia="Times New Roman" w:cs="Times New Roman"/>
          <w:sz w:val="22"/>
          <w:szCs w:val="22"/>
        </w:rPr>
        <w:t xml:space="preserve">Martin-Löf, P. (1984). </w:t>
      </w:r>
      <w:r>
        <w:rPr>
          <w:rFonts w:eastAsia="Times New Roman" w:cs="Times New Roman"/>
          <w:i/>
          <w:iCs/>
          <w:sz w:val="22"/>
          <w:szCs w:val="22"/>
        </w:rPr>
        <w:t>Intuitionistic Type Theory</w:t>
      </w:r>
      <w:r>
        <w:rPr>
          <w:rFonts w:eastAsia="Times New Roman" w:cs="Times New Roman"/>
          <w:sz w:val="22"/>
          <w:szCs w:val="22"/>
        </w:rPr>
        <w:t>. Naples: Bibliopolis.</w:t>
      </w:r>
    </w:p>
    <w:p>
      <w:pPr>
        <w:pStyle w:val="Normal"/>
        <w:spacing w:lineRule="exact" w:line="280" w:before="0" w:after="120"/>
        <w:ind w:hanging="720" w:left="720"/>
        <w:jc w:val="both"/>
        <w:rPr/>
      </w:pPr>
      <w:r>
        <w:rPr>
          <w:rFonts w:eastAsia="Times New Roman" w:cs="Times New Roman"/>
          <w:sz w:val="22"/>
          <w:szCs w:val="22"/>
        </w:rPr>
        <w:t xml:space="preserve">Pour-El, M. B., &amp; Richards, J. I. (1989). </w:t>
      </w:r>
      <w:r>
        <w:rPr>
          <w:rFonts w:eastAsia="Times New Roman" w:cs="Times New Roman"/>
          <w:i/>
          <w:iCs/>
          <w:sz w:val="22"/>
          <w:szCs w:val="22"/>
        </w:rPr>
        <w:t>Computability in Analysis and Physics</w:t>
      </w:r>
      <w:r>
        <w:rPr>
          <w:rFonts w:eastAsia="Times New Roman" w:cs="Times New Roman"/>
          <w:sz w:val="22"/>
          <w:szCs w:val="22"/>
        </w:rPr>
        <w:t>. Perspectives in Mathematical Logic. Berlin: Springer-Verlag.</w:t>
      </w:r>
    </w:p>
    <w:p>
      <w:pPr>
        <w:pStyle w:val="Normal"/>
        <w:spacing w:lineRule="exact" w:line="280" w:before="0" w:after="120"/>
        <w:ind w:hanging="720" w:left="720"/>
        <w:jc w:val="both"/>
        <w:rPr/>
      </w:pPr>
      <w:r>
        <w:rPr>
          <w:rFonts w:eastAsia="Times New Roman" w:cs="Times New Roman"/>
          <w:sz w:val="22"/>
          <w:szCs w:val="22"/>
        </w:rPr>
        <w:t xml:space="preserve">Quine, W. V. O. (1951). Two dogmas of empiricism. </w:t>
      </w:r>
      <w:r>
        <w:rPr>
          <w:rFonts w:eastAsia="Times New Roman" w:cs="Times New Roman"/>
          <w:i/>
          <w:iCs/>
          <w:sz w:val="22"/>
          <w:szCs w:val="22"/>
        </w:rPr>
        <w:t>The Philosophical Review</w:t>
      </w:r>
      <w:r>
        <w:rPr>
          <w:rFonts w:eastAsia="Times New Roman" w:cs="Times New Roman"/>
          <w:sz w:val="22"/>
          <w:szCs w:val="22"/>
        </w:rPr>
        <w:t>, 60(1), 20–43.</w:t>
      </w:r>
    </w:p>
    <w:p>
      <w:pPr>
        <w:pStyle w:val="Normal"/>
        <w:spacing w:lineRule="exact" w:line="280" w:before="0" w:after="120"/>
        <w:ind w:hanging="720" w:left="720"/>
        <w:jc w:val="both"/>
        <w:rPr/>
      </w:pPr>
      <w:r>
        <w:rPr>
          <w:rFonts w:eastAsia="Times New Roman" w:cs="Times New Roman"/>
          <w:sz w:val="22"/>
          <w:szCs w:val="22"/>
        </w:rPr>
        <w:t xml:space="preserve">Resnik, M. D. (1997). </w:t>
      </w:r>
      <w:r>
        <w:rPr>
          <w:rFonts w:eastAsia="Times New Roman" w:cs="Times New Roman"/>
          <w:i/>
          <w:iCs/>
          <w:sz w:val="22"/>
          <w:szCs w:val="22"/>
        </w:rPr>
        <w:t>Mathematics as a Science of Patterns</w:t>
      </w:r>
      <w:r>
        <w:rPr>
          <w:rFonts w:eastAsia="Times New Roman" w:cs="Times New Roman"/>
          <w:sz w:val="22"/>
          <w:szCs w:val="22"/>
        </w:rPr>
        <w:t>. Oxford: Oxford University Press.</w:t>
      </w:r>
    </w:p>
    <w:p>
      <w:pPr>
        <w:pStyle w:val="Normal"/>
        <w:spacing w:lineRule="exact" w:line="280" w:before="0" w:after="120"/>
        <w:ind w:hanging="720" w:left="720"/>
        <w:jc w:val="both"/>
        <w:rPr/>
      </w:pPr>
      <w:r>
        <w:rPr>
          <w:rFonts w:eastAsia="Times New Roman" w:cs="Times New Roman"/>
          <w:sz w:val="22"/>
          <w:szCs w:val="22"/>
        </w:rPr>
        <w:t xml:space="preserve">Reznik, V. (2026). </w:t>
      </w:r>
      <w:r>
        <w:rPr>
          <w:rFonts w:eastAsia="Times New Roman" w:cs="Times New Roman"/>
          <w:i/>
          <w:iCs/>
          <w:sz w:val="22"/>
          <w:szCs w:val="22"/>
        </w:rPr>
        <w:t>VR. A Formal System: A Minimalist Axiomatization of Arithmetic Grounded in Leibnizian Void</w:t>
      </w:r>
      <w:r>
        <w:rPr>
          <w:rFonts w:eastAsia="Times New Roman" w:cs="Times New Roman"/>
          <w:sz w:val="22"/>
          <w:szCs w:val="22"/>
        </w:rPr>
        <w:t>. Zenodo. DOI: 10.5281/zenodo.20212092</w:t>
      </w:r>
    </w:p>
    <w:p>
      <w:pPr>
        <w:pStyle w:val="Normal"/>
        <w:spacing w:lineRule="exact" w:line="280" w:before="0" w:after="120"/>
        <w:ind w:hanging="720" w:left="720"/>
        <w:jc w:val="both"/>
        <w:rPr/>
      </w:pPr>
      <w:r>
        <w:rPr>
          <w:rFonts w:eastAsia="Times New Roman" w:cs="Times New Roman"/>
          <w:sz w:val="22"/>
          <w:szCs w:val="22"/>
        </w:rPr>
        <w:t xml:space="preserve">Reznik, V. (2026). </w:t>
      </w:r>
      <w:r>
        <w:rPr>
          <w:rFonts w:eastAsia="Times New Roman" w:cs="Times New Roman"/>
          <w:i/>
          <w:iCs/>
          <w:sz w:val="22"/>
          <w:szCs w:val="22"/>
        </w:rPr>
        <w:t>VR-Numbers: Operational Extensions over the Natural Numbers of VR</w:t>
      </w:r>
      <w:r>
        <w:rPr>
          <w:rFonts w:eastAsia="Times New Roman" w:cs="Times New Roman"/>
          <w:sz w:val="22"/>
          <w:szCs w:val="22"/>
        </w:rPr>
        <w:t>. Zenodo. DOI: 10.5281/zenodo.20272743</w:t>
      </w:r>
    </w:p>
    <w:p>
      <w:pPr>
        <w:pStyle w:val="Normal"/>
        <w:spacing w:lineRule="exact" w:line="280" w:before="0" w:after="120"/>
        <w:ind w:hanging="720" w:left="720"/>
        <w:jc w:val="both"/>
        <w:rPr/>
      </w:pPr>
      <w:r>
        <w:rPr>
          <w:rFonts w:eastAsia="Times New Roman" w:cs="Times New Roman"/>
          <w:sz w:val="22"/>
          <w:szCs w:val="22"/>
        </w:rPr>
        <w:t xml:space="preserve">Russell, B. (1903). </w:t>
      </w:r>
      <w:r>
        <w:rPr>
          <w:rFonts w:eastAsia="Times New Roman" w:cs="Times New Roman"/>
          <w:i/>
          <w:iCs/>
          <w:sz w:val="22"/>
          <w:szCs w:val="22"/>
        </w:rPr>
        <w:t>The Principles of Mathematics</w:t>
      </w:r>
      <w:r>
        <w:rPr>
          <w:rFonts w:eastAsia="Times New Roman" w:cs="Times New Roman"/>
          <w:sz w:val="22"/>
          <w:szCs w:val="22"/>
        </w:rPr>
        <w:t>. Cambridge: Cambridge University Press.</w:t>
      </w:r>
    </w:p>
    <w:p>
      <w:pPr>
        <w:pStyle w:val="Normal"/>
        <w:spacing w:lineRule="exact" w:line="280" w:before="0" w:after="120"/>
        <w:ind w:hanging="720" w:left="720"/>
        <w:jc w:val="both"/>
        <w:rPr/>
      </w:pPr>
      <w:r>
        <w:rPr>
          <w:rFonts w:eastAsia="Times New Roman" w:cs="Times New Roman"/>
          <w:sz w:val="22"/>
          <w:szCs w:val="22"/>
        </w:rPr>
        <w:t xml:space="preserve">Shapiro, S. (1997). </w:t>
      </w:r>
      <w:r>
        <w:rPr>
          <w:rFonts w:eastAsia="Times New Roman" w:cs="Times New Roman"/>
          <w:i/>
          <w:iCs/>
          <w:sz w:val="22"/>
          <w:szCs w:val="22"/>
        </w:rPr>
        <w:t>Philosophy of Mathematics: Structure and Ontology</w:t>
      </w:r>
      <w:r>
        <w:rPr>
          <w:rFonts w:eastAsia="Times New Roman" w:cs="Times New Roman"/>
          <w:sz w:val="22"/>
          <w:szCs w:val="22"/>
        </w:rPr>
        <w:t>. New York: Oxford University Press.</w:t>
      </w:r>
    </w:p>
    <w:p>
      <w:pPr>
        <w:pStyle w:val="Normal"/>
        <w:spacing w:lineRule="exact" w:line="280" w:before="0" w:after="120"/>
        <w:ind w:hanging="720" w:left="720"/>
        <w:jc w:val="both"/>
        <w:rPr/>
      </w:pPr>
      <w:r>
        <w:rPr>
          <w:rFonts w:eastAsia="Times New Roman" w:cs="Times New Roman"/>
          <w:sz w:val="22"/>
          <w:szCs w:val="22"/>
        </w:rPr>
        <w:t xml:space="preserve">Simpson, S. G. (2009). </w:t>
      </w:r>
      <w:r>
        <w:rPr>
          <w:rFonts w:eastAsia="Times New Roman" w:cs="Times New Roman"/>
          <w:i/>
          <w:iCs/>
          <w:sz w:val="22"/>
          <w:szCs w:val="22"/>
        </w:rPr>
        <w:t>Subsystems of Second Order Arithmetic</w:t>
      </w:r>
      <w:r>
        <w:rPr>
          <w:rFonts w:eastAsia="Times New Roman" w:cs="Times New Roman"/>
          <w:sz w:val="22"/>
          <w:szCs w:val="22"/>
        </w:rPr>
        <w:t xml:space="preserve"> (2nd ed.). Perspectives in Logic. Cambridge: Cambridge University Press.</w:t>
      </w:r>
    </w:p>
    <w:p>
      <w:pPr>
        <w:pStyle w:val="Normal"/>
        <w:spacing w:lineRule="exact" w:line="280" w:before="0" w:after="120"/>
        <w:ind w:hanging="720" w:left="720"/>
        <w:jc w:val="both"/>
        <w:rPr/>
      </w:pPr>
      <w:r>
        <w:rPr>
          <w:rFonts w:eastAsia="Times New Roman" w:cs="Times New Roman"/>
          <w:sz w:val="22"/>
          <w:szCs w:val="22"/>
        </w:rPr>
        <w:t xml:space="preserve">Skolem, T. (1923). Einige Bemerkungen zur axiomatischen Begründung der Mengenlehre. </w:t>
      </w:r>
      <w:r>
        <w:rPr>
          <w:rFonts w:eastAsia="Times New Roman" w:cs="Times New Roman"/>
          <w:i/>
          <w:iCs/>
          <w:sz w:val="22"/>
          <w:szCs w:val="22"/>
        </w:rPr>
        <w:t>Matematikerkongressen i Helsingfors</w:t>
      </w:r>
      <w:r>
        <w:rPr>
          <w:rFonts w:eastAsia="Times New Roman" w:cs="Times New Roman"/>
          <w:sz w:val="22"/>
          <w:szCs w:val="22"/>
        </w:rPr>
        <w:t>, 217–232.</w:t>
      </w:r>
    </w:p>
    <w:p>
      <w:pPr>
        <w:pStyle w:val="Normal"/>
        <w:spacing w:lineRule="exact" w:line="280" w:before="0" w:after="120"/>
        <w:ind w:hanging="720" w:left="720"/>
        <w:jc w:val="both"/>
        <w:rPr/>
      </w:pPr>
      <w:r>
        <w:rPr>
          <w:rFonts w:eastAsia="Times New Roman" w:cs="Times New Roman"/>
          <w:sz w:val="22"/>
          <w:szCs w:val="22"/>
        </w:rPr>
        <w:t xml:space="preserve">Solovay, R. M. (1970). A model of set-theory in which every set of reals is Lebesgue measurable. </w:t>
      </w:r>
      <w:r>
        <w:rPr>
          <w:rFonts w:eastAsia="Times New Roman" w:cs="Times New Roman"/>
          <w:i/>
          <w:iCs/>
          <w:sz w:val="22"/>
          <w:szCs w:val="22"/>
        </w:rPr>
        <w:t>Annals of Mathematics</w:t>
      </w:r>
      <w:r>
        <w:rPr>
          <w:rFonts w:eastAsia="Times New Roman" w:cs="Times New Roman"/>
          <w:sz w:val="22"/>
          <w:szCs w:val="22"/>
        </w:rPr>
        <w:t>, 92(1), 1–56.</w:t>
      </w:r>
    </w:p>
    <w:p>
      <w:pPr>
        <w:pStyle w:val="Normal"/>
        <w:spacing w:lineRule="exact" w:line="280" w:before="0" w:after="120"/>
        <w:ind w:hanging="720" w:left="720"/>
        <w:jc w:val="both"/>
        <w:rPr/>
      </w:pPr>
      <w:r>
        <w:rPr>
          <w:rFonts w:eastAsia="Times New Roman" w:cs="Times New Roman"/>
          <w:sz w:val="22"/>
          <w:szCs w:val="22"/>
        </w:rPr>
        <w:t xml:space="preserve">Tarski, A. (1933). Pojęcie prawdy w językach nauk dedukcyjnych [The concept of truth in the languages of deductive sciences]. </w:t>
      </w:r>
      <w:r>
        <w:rPr>
          <w:rFonts w:eastAsia="Times New Roman" w:cs="Times New Roman"/>
          <w:i/>
          <w:iCs/>
          <w:sz w:val="22"/>
          <w:szCs w:val="22"/>
        </w:rPr>
        <w:t>Prace Towarzystwa Naukowego Warszawskiego, Wydział III</w:t>
      </w:r>
      <w:r>
        <w:rPr>
          <w:rFonts w:eastAsia="Times New Roman" w:cs="Times New Roman"/>
          <w:sz w:val="22"/>
          <w:szCs w:val="22"/>
        </w:rPr>
        <w:t>, No. 34.</w:t>
      </w:r>
    </w:p>
    <w:p>
      <w:pPr>
        <w:pStyle w:val="Normal"/>
        <w:spacing w:lineRule="exact" w:line="280" w:before="0" w:after="120"/>
        <w:ind w:hanging="720" w:left="720"/>
        <w:jc w:val="both"/>
        <w:rPr/>
      </w:pPr>
      <w:r>
        <w:rPr>
          <w:rFonts w:eastAsia="Times New Roman" w:cs="Times New Roman"/>
          <w:sz w:val="22"/>
          <w:szCs w:val="22"/>
        </w:rPr>
        <w:t xml:space="preserve">Univalent Foundations Program. (2013). </w:t>
      </w:r>
      <w:r>
        <w:rPr>
          <w:rFonts w:eastAsia="Times New Roman" w:cs="Times New Roman"/>
          <w:i/>
          <w:iCs/>
          <w:sz w:val="22"/>
          <w:szCs w:val="22"/>
        </w:rPr>
        <w:t>Homotopy Type Theory: Univalent Foundations of Mathematics</w:t>
      </w:r>
      <w:r>
        <w:rPr>
          <w:rFonts w:eastAsia="Times New Roman" w:cs="Times New Roman"/>
          <w:sz w:val="22"/>
          <w:szCs w:val="22"/>
        </w:rPr>
        <w:t>. Institute for Advanced Study. Available at: https://homotopytypetheory.org/book/</w:t>
      </w:r>
    </w:p>
    <w:p>
      <w:pPr>
        <w:pStyle w:val="Normal"/>
        <w:spacing w:lineRule="exact" w:line="280" w:before="0" w:after="120"/>
        <w:ind w:hanging="720" w:left="720"/>
        <w:jc w:val="both"/>
        <w:rPr/>
      </w:pPr>
      <w:r>
        <w:rPr>
          <w:rFonts w:eastAsia="Times New Roman" w:cs="Times New Roman"/>
          <w:sz w:val="22"/>
          <w:szCs w:val="22"/>
        </w:rPr>
        <w:t xml:space="preserve">Weihrauch, K. (2000). </w:t>
      </w:r>
      <w:r>
        <w:rPr>
          <w:rFonts w:eastAsia="Times New Roman" w:cs="Times New Roman"/>
          <w:i/>
          <w:iCs/>
          <w:sz w:val="22"/>
          <w:szCs w:val="22"/>
        </w:rPr>
        <w:t>Computable Analysis: An Introduction</w:t>
      </w:r>
      <w:r>
        <w:rPr>
          <w:rFonts w:eastAsia="Times New Roman" w:cs="Times New Roman"/>
          <w:sz w:val="22"/>
          <w:szCs w:val="22"/>
        </w:rPr>
        <w:t>. Texts in Theoretical Computer Science. Berlin: Springer-Verlag.</w:t>
      </w:r>
    </w:p>
    <w:p>
      <w:pPr>
        <w:pStyle w:val="Normal"/>
        <w:spacing w:lineRule="exact" w:line="280" w:before="0" w:after="120"/>
        <w:ind w:hanging="720" w:left="720"/>
        <w:jc w:val="both"/>
        <w:rPr/>
      </w:pPr>
      <w:r>
        <w:rPr>
          <w:rFonts w:eastAsia="Times New Roman" w:cs="Times New Roman"/>
          <w:sz w:val="22"/>
          <w:szCs w:val="22"/>
        </w:rPr>
        <w:t xml:space="preserve">Weyl, H. (1918). </w:t>
      </w:r>
      <w:r>
        <w:rPr>
          <w:rFonts w:eastAsia="Times New Roman" w:cs="Times New Roman"/>
          <w:i/>
          <w:iCs/>
          <w:sz w:val="22"/>
          <w:szCs w:val="22"/>
        </w:rPr>
        <w:t>Das Kontinuum: Kritische Untersuchungen über die Grundlagen der Analysis</w:t>
      </w:r>
      <w:r>
        <w:rPr>
          <w:rFonts w:eastAsia="Times New Roman" w:cs="Times New Roman"/>
          <w:sz w:val="22"/>
          <w:szCs w:val="22"/>
        </w:rPr>
        <w:t>. Leipzig: Veit.</w:t>
      </w:r>
    </w:p>
    <w:p>
      <w:pPr>
        <w:pStyle w:val="Normal"/>
        <w:spacing w:lineRule="exact" w:line="280" w:before="0" w:after="120"/>
        <w:ind w:hanging="720" w:left="720"/>
        <w:jc w:val="both"/>
        <w:rPr/>
      </w:pPr>
      <w:r>
        <w:rPr>
          <w:rFonts w:eastAsia="Times New Roman" w:cs="Times New Roman"/>
          <w:sz w:val="22"/>
          <w:szCs w:val="22"/>
        </w:rPr>
        <w:t xml:space="preserve">Whitehead, A. N. (1929). </w:t>
      </w:r>
      <w:r>
        <w:rPr>
          <w:rFonts w:eastAsia="Times New Roman" w:cs="Times New Roman"/>
          <w:i/>
          <w:iCs/>
          <w:sz w:val="22"/>
          <w:szCs w:val="22"/>
        </w:rPr>
        <w:t>Process and Reality: An Essay in Cosmology</w:t>
      </w:r>
      <w:r>
        <w:rPr>
          <w:rFonts w:eastAsia="Times New Roman" w:cs="Times New Roman"/>
          <w:sz w:val="22"/>
          <w:szCs w:val="22"/>
        </w:rPr>
        <w:t>. New York: Macmillan.</w:t>
      </w:r>
    </w:p>
    <w:p>
      <w:pPr>
        <w:pStyle w:val="Normal"/>
        <w:spacing w:lineRule="exact" w:line="280" w:before="0" w:after="120"/>
        <w:ind w:hanging="720" w:left="720"/>
        <w:jc w:val="both"/>
        <w:rPr/>
      </w:pPr>
      <w:r>
        <w:rPr>
          <w:rFonts w:eastAsia="Times New Roman" w:cs="Times New Roman"/>
          <w:sz w:val="22"/>
          <w:szCs w:val="22"/>
        </w:rPr>
        <w:t xml:space="preserve">Zermelo, E. (1908). Untersuchungen über die Grundlagen der Mengenlehre. </w:t>
      </w:r>
      <w:r>
        <w:rPr>
          <w:rFonts w:eastAsia="Times New Roman" w:cs="Times New Roman"/>
          <w:i/>
          <w:iCs/>
          <w:sz w:val="22"/>
          <w:szCs w:val="22"/>
        </w:rPr>
        <w:t>Mathematische Annalen</w:t>
      </w:r>
      <w:r>
        <w:rPr>
          <w:rFonts w:eastAsia="Times New Roman" w:cs="Times New Roman"/>
          <w:sz w:val="22"/>
          <w:szCs w:val="22"/>
        </w:rPr>
        <w:t>, 65(2), 261–281.</w:t>
      </w:r>
    </w:p>
    <w:p>
      <w:pPr>
        <w:pStyle w:val="Heading1"/>
        <w:spacing w:before="360" w:after="200"/>
        <w:jc w:val="left"/>
        <w:rPr/>
      </w:pPr>
      <w:r>
        <w:rPr>
          <w:rFonts w:eastAsia="Times New Roman" w:cs="Times New Roman" w:ascii="Times New Roman" w:hAnsi="Times New Roman"/>
          <w:b/>
          <w:bCs/>
          <w:sz w:val="32"/>
          <w:szCs w:val="32"/>
        </w:rPr>
        <w:t>Acknowledgement of AI assistance</w:t>
      </w:r>
    </w:p>
    <w:p>
      <w:pPr>
        <w:pStyle w:val="Normal"/>
        <w:spacing w:lineRule="exact" w:line="312" w:before="0" w:after="240"/>
        <w:jc w:val="both"/>
        <w:rPr/>
      </w:pPr>
      <w:r>
        <w:rPr>
          <w:rFonts w:eastAsia="Times New Roman" w:cs="Times New Roman"/>
          <w:i/>
          <w:iCs/>
          <w:sz w:val="22"/>
          <w:szCs w:val="22"/>
        </w:rPr>
        <w:t>The formal exposition of this preprint was prepared with the assistance of Claude (Anthropic, model Opus 4.7) for drafting, English translation, language polishing, and consistency checking. All mathematical content, definitions, theorems, and ontological positions are due to the author.</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2554</Words>
  <Characters>14952</Characters>
  <CharactersWithSpaces>17379</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2026-05-19T14:56:09Z</dcterms:created>
  <dc:creator>Vitaly Reznik</dc:creator>
  <dc:description>Open Questions</dc:description>
  <dc:language>en-US</dc:language>
  <cp:lastModifiedBy/>
  <dcterms:modified xsi:type="dcterms:W3CDTF">2026-05-19T23:15:40Z</dcterms:modified>
  <cp:revision>2</cp:revision>
  <dc:subject/>
  <dc:title>VR-Sets Part IX (EN)</dc:title>
</cp:coreProperties>
</file>