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rFonts w:eastAsia="Times New Roman" w:cs="Times New Roman"/>
          <w:b/>
          <w:bCs/>
          <w:sz w:val="36"/>
          <w:szCs w:val="36"/>
        </w:rPr>
        <w:t>VR-Forms. Preprint.</w:t>
      </w:r>
    </w:p>
    <w:p>
      <w:pPr>
        <w:pStyle w:val="Normal"/>
        <w:spacing w:before="0" w:after="120"/>
        <w:jc w:val="center"/>
        <w:rPr/>
      </w:pPr>
      <w:r>
        <w:rPr>
          <w:rFonts w:eastAsia="Times New Roman" w:cs="Times New Roman"/>
          <w:b/>
          <w:bCs/>
          <w:sz w:val="32"/>
          <w:szCs w:val="32"/>
        </w:rPr>
        <w:t>Part VIII. Open Questions and the Place of VR-Forms in the Cycle</w:t>
      </w:r>
    </w:p>
    <w:p>
      <w:pPr>
        <w:pStyle w:val="Normal"/>
        <w:spacing w:before="0" w:after="80"/>
        <w:jc w:val="center"/>
        <w:rPr/>
      </w:pPr>
      <w:r>
        <w:rPr>
          <w:rFonts w:eastAsia="Times New Roman" w:cs="Times New Roman"/>
          <w:i/>
          <w:iCs/>
          <w:sz w:val="28"/>
          <w:szCs w:val="28"/>
        </w:rPr>
        <w:t>Vitaly Reznik</w:t>
      </w:r>
    </w:p>
    <w:p>
      <w:pPr>
        <w:pStyle w:val="Normal"/>
        <w:spacing w:before="0" w:after="240"/>
        <w:jc w:val="center"/>
        <w:rPr/>
      </w:pPr>
      <w:r>
        <w:rPr>
          <w:rFonts w:eastAsia="Times New Roman" w:cs="Times New Roman"/>
          <w:sz w:val="24"/>
          <w:szCs w:val="24"/>
        </w:rPr>
        <w:t>2026</w:t>
      </w:r>
    </w:p>
    <w:p>
      <w:pPr>
        <w:pStyle w:val="Heading1"/>
        <w:spacing w:before="360" w:after="200"/>
        <w:jc w:val="left"/>
        <w:rPr/>
      </w:pPr>
      <w:r>
        <w:rPr>
          <w:rFonts w:eastAsia="Times New Roman" w:cs="Times New Roman" w:ascii="Times New Roman" w:hAnsi="Times New Roman"/>
          <w:b/>
          <w:bCs/>
          <w:sz w:val="32"/>
          <w:szCs w:val="32"/>
        </w:rPr>
        <w:t>VIII.0. Introduction</w:t>
      </w:r>
    </w:p>
    <w:p>
      <w:pPr>
        <w:pStyle w:val="Normal"/>
        <w:spacing w:lineRule="exact" w:line="312" w:before="0" w:after="120"/>
        <w:jc w:val="both"/>
        <w:rPr/>
      </w:pPr>
      <w:r>
        <w:rPr>
          <w:rFonts w:eastAsia="Times New Roman" w:cs="Times New Roman"/>
          <w:sz w:val="24"/>
          <w:szCs w:val="24"/>
        </w:rPr>
        <w:t>The concluding part of the preprint sums up VR-Forms and records open directions. The structure parallels Part IX of VR-Sets: technical questions, substantive extensions, philosophical open directions, general conclusion.</w:t>
      </w:r>
    </w:p>
    <w:p>
      <w:pPr>
        <w:pStyle w:val="Normal"/>
        <w:spacing w:lineRule="exact" w:line="312" w:before="0" w:after="120"/>
        <w:jc w:val="both"/>
        <w:rPr/>
      </w:pPr>
      <w:r>
        <w:rPr>
          <w:rFonts w:eastAsia="Times New Roman" w:cs="Times New Roman"/>
          <w:sz w:val="24"/>
          <w:szCs w:val="24"/>
        </w:rPr>
        <w:t>Part VIII closes the work. All formal results are gathered in Parts II–IV; applications in Parts V–VI; logical properties in Part VII. Here — the fixing of what remains open and of what is planned as the next work of the cycle (VR-Audit).</w:t>
      </w:r>
    </w:p>
    <w:p>
      <w:pPr>
        <w:pStyle w:val="Heading1"/>
        <w:spacing w:before="360" w:after="200"/>
        <w:jc w:val="left"/>
        <w:rPr/>
      </w:pPr>
      <w:r>
        <w:rPr>
          <w:rFonts w:eastAsia="Times New Roman" w:cs="Times New Roman" w:ascii="Times New Roman" w:hAnsi="Times New Roman"/>
          <w:b/>
          <w:bCs/>
          <w:sz w:val="32"/>
          <w:szCs w:val="32"/>
        </w:rPr>
        <w:t>VIII.1. Technical open questions</w:t>
      </w:r>
    </w:p>
    <w:p>
      <w:pPr>
        <w:pStyle w:val="Heading3"/>
        <w:spacing w:before="220" w:after="120"/>
        <w:jc w:val="left"/>
        <w:rPr/>
      </w:pPr>
      <w:r>
        <w:rPr>
          <w:rFonts w:eastAsia="Times New Roman" w:cs="Times New Roman" w:ascii="Times New Roman" w:hAnsi="Times New Roman"/>
          <w:b/>
          <w:bCs/>
          <w:sz w:val="25"/>
          <w:szCs w:val="25"/>
        </w:rPr>
        <w:t>Question 1: formalisation in Lean/Coq/Agda</w:t>
      </w:r>
    </w:p>
    <w:p>
      <w:pPr>
        <w:pStyle w:val="Normal"/>
        <w:spacing w:lineRule="exact" w:line="312" w:before="0" w:after="120"/>
        <w:jc w:val="both"/>
        <w:rPr/>
      </w:pPr>
      <w:r>
        <w:rPr>
          <w:rFonts w:eastAsia="Times New Roman" w:cs="Times New Roman"/>
          <w:sz w:val="24"/>
          <w:szCs w:val="24"/>
        </w:rPr>
        <w:t>Machine formalisation of VR-Forms is a natural technical step. The two-register structure fits well with dependent types: the ontological register — usual types with values, the formal register — syntactic objects with an interpreting mapping. Lean 4 appears most suitable: its mathematical library (mathlib) already contains tools for working with conservative extensions, translations, two-sorted logic.</w:t>
      </w:r>
    </w:p>
    <w:p>
      <w:pPr>
        <w:pStyle w:val="Normal"/>
        <w:spacing w:lineRule="exact" w:line="312" w:before="0" w:after="120"/>
        <w:jc w:val="both"/>
        <w:rPr/>
      </w:pPr>
      <w:r>
        <w:rPr>
          <w:rFonts w:eastAsia="Times New Roman" w:cs="Times New Roman"/>
          <w:sz w:val="24"/>
          <w:szCs w:val="24"/>
        </w:rPr>
        <w:t>Concrete formalisation tasks: (a) formal verification of Theorem III.1 on conservativity; (b) formalisation of the transit rule (§IV.2); (c) machine verification of examples (§IV.5, Parts V–VI).</w:t>
      </w:r>
    </w:p>
    <w:p>
      <w:pPr>
        <w:pStyle w:val="Heading3"/>
        <w:spacing w:before="220" w:after="120"/>
        <w:jc w:val="left"/>
        <w:rPr/>
      </w:pPr>
      <w:r>
        <w:rPr>
          <w:rFonts w:eastAsia="Times New Roman" w:cs="Times New Roman" w:ascii="Times New Roman" w:hAnsi="Times New Roman"/>
          <w:b/>
          <w:bCs/>
          <w:sz w:val="25"/>
          <w:szCs w:val="25"/>
        </w:rPr>
        <w:t>Question 2: precise strength of the translation π</w:t>
      </w:r>
    </w:p>
    <w:p>
      <w:pPr>
        <w:pStyle w:val="Normal"/>
        <w:spacing w:lineRule="exact" w:line="312" w:before="0" w:after="120"/>
        <w:jc w:val="both"/>
        <w:rPr/>
      </w:pPr>
      <w:r>
        <w:rPr>
          <w:rFonts w:eastAsia="Times New Roman" w:cs="Times New Roman"/>
          <w:sz w:val="24"/>
          <w:szCs w:val="24"/>
        </w:rPr>
        <w:t>The mapping π from §III.2 translates formal terms into defining predicates. On simple formal terms of the form ⌜{x : φ(x)}⌝ the translation is trivial. For more complex constructions (quantification over formal terms, iteration of formal terms, recursive definitions via formal terms) the translation requires more careful definition.</w:t>
      </w:r>
    </w:p>
    <w:p>
      <w:pPr>
        <w:pStyle w:val="Normal"/>
        <w:spacing w:lineRule="exact" w:line="312" w:before="0" w:after="120"/>
        <w:jc w:val="both"/>
        <w:rPr/>
      </w:pPr>
      <w:r>
        <w:rPr>
          <w:rFonts w:eastAsia="Times New Roman" w:cs="Times New Roman"/>
          <w:sz w:val="24"/>
          <w:szCs w:val="24"/>
        </w:rPr>
        <w:t>Open question: what is the precise range of formal constructions for which π gives an invertible translation? Are there formal terms for which π gives an ambiguous result? These questions matter for a strict variant of formalisation in Lean.</w:t>
      </w:r>
    </w:p>
    <w:p>
      <w:pPr>
        <w:pStyle w:val="Heading3"/>
        <w:spacing w:before="220" w:after="120"/>
        <w:jc w:val="left"/>
        <w:rPr/>
      </w:pPr>
      <w:r>
        <w:rPr>
          <w:rFonts w:eastAsia="Times New Roman" w:cs="Times New Roman" w:ascii="Times New Roman" w:hAnsi="Times New Roman"/>
          <w:b/>
          <w:bCs/>
          <w:sz w:val="25"/>
          <w:szCs w:val="25"/>
        </w:rPr>
        <w:t>Question 3: composition of transits</w:t>
      </w:r>
    </w:p>
    <w:p>
      <w:pPr>
        <w:pStyle w:val="Normal"/>
        <w:spacing w:lineRule="exact" w:line="312" w:before="0" w:after="120"/>
        <w:jc w:val="both"/>
        <w:rPr/>
      </w:pPr>
      <w:r>
        <w:rPr>
          <w:rFonts w:eastAsia="Times New Roman" w:cs="Times New Roman"/>
          <w:sz w:val="24"/>
          <w:szCs w:val="24"/>
        </w:rPr>
        <w:t>If there is a transit D₁ yielding the ontological statement φ, and a transit D₂ using φ as a lemma on the way to a statement ψ — is there a single transit for ψ, or is a composition of separate transits needed?</w:t>
      </w:r>
    </w:p>
    <w:p>
      <w:pPr>
        <w:pStyle w:val="Normal"/>
        <w:spacing w:lineRule="exact" w:line="312" w:before="0" w:after="120"/>
        <w:jc w:val="both"/>
        <w:rPr/>
      </w:pPr>
      <w:r>
        <w:rPr>
          <w:rFonts w:eastAsia="Times New Roman" w:cs="Times New Roman"/>
          <w:sz w:val="24"/>
          <w:szCs w:val="24"/>
        </w:rPr>
        <w:t>This is a question of practical work with VR-Forms: how naturally do chains of lemmas organise into one large transit, and do problems with conservativity arise under composition?</w:t>
      </w:r>
    </w:p>
    <w:p>
      <w:pPr>
        <w:pStyle w:val="Normal"/>
        <w:spacing w:lineRule="exact" w:line="312" w:before="0" w:after="120"/>
        <w:jc w:val="both"/>
        <w:rPr/>
      </w:pPr>
      <w:r>
        <w:rPr>
          <w:rFonts w:eastAsia="Times New Roman" w:cs="Times New Roman"/>
          <w:sz w:val="24"/>
          <w:szCs w:val="24"/>
        </w:rPr>
        <w:t>It is expected that the composition of transits is safe (by transitivity of conservativity), but a strict proof and a survey of practical cases remain open.</w:t>
      </w:r>
    </w:p>
    <w:p>
      <w:pPr>
        <w:pStyle w:val="Heading3"/>
        <w:spacing w:before="220" w:after="120"/>
        <w:jc w:val="left"/>
        <w:rPr/>
      </w:pPr>
      <w:r>
        <w:rPr>
          <w:rFonts w:eastAsia="Times New Roman" w:cs="Times New Roman" w:ascii="Times New Roman" w:hAnsi="Times New Roman"/>
          <w:b/>
          <w:bCs/>
          <w:sz w:val="25"/>
          <w:szCs w:val="25"/>
        </w:rPr>
        <w:t>Question 4: alternative logics of the formal register</w:t>
      </w:r>
    </w:p>
    <w:p>
      <w:pPr>
        <w:pStyle w:val="Normal"/>
        <w:spacing w:lineRule="exact" w:line="312" w:before="0" w:after="120"/>
        <w:jc w:val="both"/>
        <w:rPr/>
      </w:pPr>
      <w:r>
        <w:rPr>
          <w:rFonts w:eastAsia="Times New Roman" w:cs="Times New Roman"/>
          <w:sz w:val="24"/>
          <w:szCs w:val="24"/>
        </w:rPr>
        <w:t>In §VII.1 the choice was made in favour of classical logic in the formal register. Open question: what properties of VR-Forms are preserved, and which change, under replacement of classical logic with:</w:t>
      </w:r>
    </w:p>
    <w:p>
      <w:pPr>
        <w:pStyle w:val="Normal"/>
        <w:spacing w:lineRule="exact" w:line="312" w:before="0" w:after="120"/>
        <w:jc w:val="both"/>
        <w:rPr/>
      </w:pPr>
      <w:r>
        <w:rPr>
          <w:rFonts w:eastAsia="Times New Roman" w:cs="Times New Roman"/>
          <w:sz w:val="24"/>
          <w:szCs w:val="24"/>
        </w:rPr>
        <w:t>(a) intuitionistic logic — substantively: the formal register becomes constructive; paradoxical formal terms receive a different status;</w:t>
      </w:r>
    </w:p>
    <w:p>
      <w:pPr>
        <w:pStyle w:val="Normal"/>
        <w:spacing w:lineRule="exact" w:line="312" w:before="0" w:after="120"/>
        <w:jc w:val="both"/>
        <w:rPr/>
      </w:pPr>
      <w:r>
        <w:rPr>
          <w:rFonts w:eastAsia="Times New Roman" w:cs="Times New Roman"/>
          <w:sz w:val="24"/>
          <w:szCs w:val="24"/>
        </w:rPr>
        <w:t>(b) paraconsistent logic — substantively: contradictions in formal terms may be treated explicitly, without threat of overall contradiction;</w:t>
      </w:r>
    </w:p>
    <w:p>
      <w:pPr>
        <w:pStyle w:val="Normal"/>
        <w:spacing w:lineRule="exact" w:line="312" w:before="0" w:after="120"/>
        <w:jc w:val="both"/>
        <w:rPr/>
      </w:pPr>
      <w:r>
        <w:rPr>
          <w:rFonts w:eastAsia="Times New Roman" w:cs="Times New Roman"/>
          <w:sz w:val="24"/>
          <w:szCs w:val="24"/>
        </w:rPr>
        <w:t>(c) modal logic — substantively: formal terms may differ in «mode» (necessary/possible/counterfactual).</w:t>
      </w:r>
    </w:p>
    <w:p>
      <w:pPr>
        <w:pStyle w:val="Normal"/>
        <w:spacing w:lineRule="exact" w:line="312" w:before="0" w:after="120"/>
        <w:jc w:val="both"/>
        <w:rPr/>
      </w:pPr>
      <w:r>
        <w:rPr>
          <w:rFonts w:eastAsia="Times New Roman" w:cs="Times New Roman"/>
          <w:sz w:val="24"/>
          <w:szCs w:val="24"/>
        </w:rPr>
        <w:t>Each of these alternatives is a separate work.</w:t>
      </w:r>
    </w:p>
    <w:p>
      <w:pPr>
        <w:pStyle w:val="Heading1"/>
        <w:spacing w:before="360" w:after="200"/>
        <w:jc w:val="left"/>
        <w:rPr/>
      </w:pPr>
      <w:r>
        <w:rPr>
          <w:rFonts w:eastAsia="Times New Roman" w:cs="Times New Roman" w:ascii="Times New Roman" w:hAnsi="Times New Roman"/>
          <w:b/>
          <w:bCs/>
          <w:sz w:val="32"/>
          <w:szCs w:val="32"/>
        </w:rPr>
        <w:t>VIII.2. Substantive extensions</w:t>
      </w:r>
    </w:p>
    <w:p>
      <w:pPr>
        <w:pStyle w:val="Heading3"/>
        <w:spacing w:before="220" w:after="120"/>
        <w:jc w:val="left"/>
        <w:rPr/>
      </w:pPr>
      <w:r>
        <w:rPr>
          <w:rFonts w:eastAsia="Times New Roman" w:cs="Times New Roman" w:ascii="Times New Roman" w:hAnsi="Times New Roman"/>
          <w:b/>
          <w:bCs/>
          <w:sz w:val="25"/>
          <w:szCs w:val="25"/>
        </w:rPr>
        <w:t>Extension 1: VR-Audit</w:t>
      </w:r>
    </w:p>
    <w:p>
      <w:pPr>
        <w:pStyle w:val="Normal"/>
        <w:spacing w:lineRule="exact" w:line="312" w:before="0" w:after="120"/>
        <w:jc w:val="both"/>
        <w:rPr/>
      </w:pPr>
      <w:r>
        <w:rPr>
          <w:rFonts w:eastAsia="Times New Roman" w:cs="Times New Roman"/>
          <w:sz w:val="24"/>
          <w:szCs w:val="24"/>
        </w:rPr>
        <w:t>The direct and principal continuation of VR-Forms is the programme of VR-Audit. Content: systematic analysis of classical mathematical theorems with the aim of determining which of them transit directly into VR-Sets, which require operational labour to extract content (problematic transits), and which are essentially non-ontological.</w:t>
      </w:r>
    </w:p>
    <w:p>
      <w:pPr>
        <w:pStyle w:val="Normal"/>
        <w:spacing w:lineRule="exact" w:line="312" w:before="0" w:after="120"/>
        <w:jc w:val="both"/>
        <w:rPr/>
      </w:pPr>
      <w:r>
        <w:rPr>
          <w:rFonts w:eastAsia="Times New Roman" w:cs="Times New Roman"/>
          <w:sz w:val="24"/>
          <w:szCs w:val="24"/>
        </w:rPr>
        <w:t>VR-Forms provides the apparatus for VR-Audit. VR-Audit uses this apparatus on concrete theorems. List of first candidates:</w:t>
      </w:r>
    </w:p>
    <w:p>
      <w:pPr>
        <w:pStyle w:val="Normal"/>
        <w:spacing w:lineRule="exact" w:line="312" w:before="0" w:after="120"/>
        <w:jc w:val="both"/>
        <w:rPr/>
      </w:pPr>
      <w:r>
        <w:rPr>
          <w:rFonts w:eastAsia="Times New Roman" w:cs="Times New Roman"/>
          <w:sz w:val="24"/>
          <w:szCs w:val="24"/>
        </w:rPr>
        <w:t>— the spectral theorem in its various formulations (discrete and continuous spectrum);</w:t>
      </w:r>
    </w:p>
    <w:p>
      <w:pPr>
        <w:pStyle w:val="Normal"/>
        <w:spacing w:lineRule="exact" w:line="312" w:before="0" w:after="120"/>
        <w:jc w:val="both"/>
        <w:rPr/>
      </w:pPr>
      <w:r>
        <w:rPr>
          <w:rFonts w:eastAsia="Times New Roman" w:cs="Times New Roman"/>
          <w:sz w:val="24"/>
          <w:szCs w:val="24"/>
        </w:rPr>
        <w:t>— the Hahn–Banach theorem in general form;</w:t>
      </w:r>
    </w:p>
    <w:p>
      <w:pPr>
        <w:pStyle w:val="Normal"/>
        <w:spacing w:lineRule="exact" w:line="312" w:before="0" w:after="120"/>
        <w:jc w:val="both"/>
        <w:rPr/>
      </w:pPr>
      <w:r>
        <w:rPr>
          <w:rFonts w:eastAsia="Times New Roman" w:cs="Times New Roman"/>
          <w:sz w:val="24"/>
          <w:szCs w:val="24"/>
        </w:rPr>
        <w:t>— Baire's category theorem;</w:t>
      </w:r>
    </w:p>
    <w:p>
      <w:pPr>
        <w:pStyle w:val="Normal"/>
        <w:spacing w:lineRule="exact" w:line="312" w:before="0" w:after="120"/>
        <w:jc w:val="both"/>
        <w:rPr/>
      </w:pPr>
      <w:r>
        <w:rPr>
          <w:rFonts w:eastAsia="Times New Roman" w:cs="Times New Roman"/>
          <w:sz w:val="24"/>
          <w:szCs w:val="24"/>
        </w:rPr>
        <w:t>— Tikhonov's compactness theorem;</w:t>
      </w:r>
    </w:p>
    <w:p>
      <w:pPr>
        <w:pStyle w:val="Normal"/>
        <w:spacing w:lineRule="exact" w:line="312" w:before="0" w:after="120"/>
        <w:jc w:val="both"/>
        <w:rPr/>
      </w:pPr>
      <w:r>
        <w:rPr>
          <w:rFonts w:eastAsia="Times New Roman" w:cs="Times New Roman"/>
          <w:sz w:val="24"/>
          <w:szCs w:val="24"/>
        </w:rPr>
        <w:t>— the Radon–Nikodym theorem on measures;</w:t>
      </w:r>
    </w:p>
    <w:p>
      <w:pPr>
        <w:pStyle w:val="Normal"/>
        <w:spacing w:lineRule="exact" w:line="312" w:before="0" w:after="120"/>
        <w:jc w:val="both"/>
        <w:rPr/>
      </w:pPr>
      <w:r>
        <w:rPr>
          <w:rFonts w:eastAsia="Times New Roman" w:cs="Times New Roman"/>
          <w:sz w:val="24"/>
          <w:szCs w:val="24"/>
        </w:rPr>
        <w:t>— theorems from quantum mechanics (Stone, von Neumann, Naimark).</w:t>
      </w:r>
    </w:p>
    <w:p>
      <w:pPr>
        <w:pStyle w:val="Normal"/>
        <w:spacing w:lineRule="exact" w:line="312" w:before="0" w:after="120"/>
        <w:jc w:val="both"/>
        <w:rPr/>
      </w:pPr>
      <w:r>
        <w:rPr>
          <w:rFonts w:eastAsia="Times New Roman" w:cs="Times New Roman"/>
          <w:sz w:val="24"/>
          <w:szCs w:val="24"/>
        </w:rPr>
        <w:t>Each such theorem can be analysed: is the uncountable used essentially, or only as convenience?</w:t>
      </w:r>
    </w:p>
    <w:p>
      <w:pPr>
        <w:pStyle w:val="Heading3"/>
        <w:spacing w:before="220" w:after="120"/>
        <w:jc w:val="left"/>
        <w:rPr/>
      </w:pPr>
      <w:r>
        <w:rPr>
          <w:rFonts w:eastAsia="Times New Roman" w:cs="Times New Roman" w:ascii="Times New Roman" w:hAnsi="Times New Roman"/>
          <w:b/>
          <w:bCs/>
          <w:sz w:val="25"/>
          <w:szCs w:val="25"/>
        </w:rPr>
        <w:t>Extension 2: connection with reverse mathematics</w:t>
      </w:r>
    </w:p>
    <w:p>
      <w:pPr>
        <w:pStyle w:val="Normal"/>
        <w:spacing w:lineRule="exact" w:line="312" w:before="0" w:after="120"/>
        <w:jc w:val="both"/>
        <w:rPr/>
      </w:pPr>
      <w:r>
        <w:rPr>
          <w:rFonts w:eastAsia="Times New Roman" w:cs="Times New Roman"/>
          <w:sz w:val="24"/>
          <w:szCs w:val="24"/>
        </w:rPr>
        <w:t>The programme of Reverse Mathematics (Friedman, Simpson) classifies classical theorems by the strength of axioms needed for their proof. The hierarchy of subsystems of second-order arithmetic (RCA₀, WKL₀, ACA₀, ATR₀, Π¹₁-CA₀) gives a precise measure of the «uncountable strength» of each theorem.</w:t>
      </w:r>
    </w:p>
    <w:p>
      <w:pPr>
        <w:pStyle w:val="Normal"/>
        <w:spacing w:lineRule="exact" w:line="312" w:before="0" w:after="120"/>
        <w:jc w:val="both"/>
        <w:rPr/>
      </w:pPr>
      <w:r>
        <w:rPr>
          <w:rFonts w:eastAsia="Times New Roman" w:cs="Times New Roman"/>
          <w:sz w:val="24"/>
          <w:szCs w:val="24"/>
        </w:rPr>
        <w:t>VR-Forms and VR-Audit can connect with this programme through the translation π. Each system of the Reverse Mathematics hierarchy corresponds to a definite class of formal terms in VR-Forms; theorems provable in RCA₀ transit directly into VR-Sets; theorems requiring stronger subsystems yield problematic transits, and the character of problematicity depends on the subsystem.</w:t>
      </w:r>
    </w:p>
    <w:p>
      <w:pPr>
        <w:pStyle w:val="Normal"/>
        <w:spacing w:lineRule="exact" w:line="312" w:before="0" w:after="120"/>
        <w:jc w:val="both"/>
        <w:rPr/>
      </w:pPr>
      <w:r>
        <w:rPr>
          <w:rFonts w:eastAsia="Times New Roman" w:cs="Times New Roman"/>
          <w:sz w:val="24"/>
          <w:szCs w:val="24"/>
        </w:rPr>
        <w:t>Establishing the precise correspondence is a separate task, uniting VR-Forms with the already substantial Reverse Mathematics literature.</w:t>
      </w:r>
    </w:p>
    <w:p>
      <w:pPr>
        <w:pStyle w:val="Heading3"/>
        <w:spacing w:before="220" w:after="120"/>
        <w:jc w:val="left"/>
        <w:rPr/>
      </w:pPr>
      <w:r>
        <w:rPr>
          <w:rFonts w:eastAsia="Times New Roman" w:cs="Times New Roman" w:ascii="Times New Roman" w:hAnsi="Times New Roman"/>
          <w:b/>
          <w:bCs/>
          <w:sz w:val="25"/>
          <w:szCs w:val="25"/>
        </w:rPr>
        <w:t>Extension 3: connection with topoi and category theory</w:t>
      </w:r>
    </w:p>
    <w:p>
      <w:pPr>
        <w:pStyle w:val="Normal"/>
        <w:spacing w:lineRule="exact" w:line="312" w:before="0" w:after="120"/>
        <w:jc w:val="both"/>
        <w:rPr/>
      </w:pPr>
      <w:r>
        <w:rPr>
          <w:rFonts w:eastAsia="Times New Roman" w:cs="Times New Roman"/>
          <w:sz w:val="24"/>
          <w:szCs w:val="24"/>
        </w:rPr>
        <w:t>Categorical set theory (Lawvere ETCS, Macnamara SDG, elementary topoi) gives an alternative view of foundations through universal properties. VR-Sets is close to them in spirit (see VR-Sets §IX.2). VR-Forms adds the possibility of speaking about non-operational categorical constructions as formal terms: ⌜topos of all functors⌝, ⌜absolutely complete category⌝, etc.</w:t>
      </w:r>
    </w:p>
    <w:p>
      <w:pPr>
        <w:pStyle w:val="Normal"/>
        <w:spacing w:lineRule="exact" w:line="312" w:before="0" w:after="120"/>
        <w:jc w:val="both"/>
        <w:rPr/>
      </w:pPr>
      <w:r>
        <w:rPr>
          <w:rFonts w:eastAsia="Times New Roman" w:cs="Times New Roman"/>
          <w:sz w:val="24"/>
          <w:szCs w:val="24"/>
        </w:rPr>
        <w:t>Open direction: construction of VR-categorical apparatus, where operational categories (countable, with countable structure) are operational, and larger ones are formal.</w:t>
      </w:r>
    </w:p>
    <w:p>
      <w:pPr>
        <w:pStyle w:val="Heading3"/>
        <w:spacing w:before="220" w:after="120"/>
        <w:jc w:val="left"/>
        <w:rPr/>
      </w:pPr>
      <w:r>
        <w:rPr>
          <w:rFonts w:eastAsia="Times New Roman" w:cs="Times New Roman" w:ascii="Times New Roman" w:hAnsi="Times New Roman"/>
          <w:b/>
          <w:bCs/>
          <w:sz w:val="25"/>
          <w:szCs w:val="25"/>
        </w:rPr>
        <w:t>Extension 4: homotopy type theory (HoTT)</w:t>
      </w:r>
    </w:p>
    <w:p>
      <w:pPr>
        <w:pStyle w:val="Normal"/>
        <w:spacing w:lineRule="exact" w:line="312" w:before="0" w:after="120"/>
        <w:jc w:val="both"/>
        <w:rPr/>
      </w:pPr>
      <w:r>
        <w:rPr>
          <w:rFonts w:eastAsia="Times New Roman" w:cs="Times New Roman"/>
          <w:sz w:val="24"/>
          <w:szCs w:val="24"/>
        </w:rPr>
        <w:t>In HoTT equality is not a relation but a type (path). VR-Forms can be reinterpreted in the HoTT spirit: ≡ as a path in the type of operational sets, formal terms as higher types with a special interpreting translation. This is technically complex but substantively close.</w:t>
      </w:r>
    </w:p>
    <w:p>
      <w:pPr>
        <w:pStyle w:val="Heading3"/>
        <w:spacing w:before="220" w:after="120"/>
        <w:jc w:val="left"/>
        <w:rPr/>
      </w:pPr>
      <w:r>
        <w:rPr>
          <w:rFonts w:eastAsia="Times New Roman" w:cs="Times New Roman" w:ascii="Times New Roman" w:hAnsi="Times New Roman"/>
          <w:b/>
          <w:bCs/>
          <w:sz w:val="25"/>
          <w:szCs w:val="25"/>
        </w:rPr>
        <w:t>Extension 5: operational foundations of physics</w:t>
      </w:r>
    </w:p>
    <w:p>
      <w:pPr>
        <w:pStyle w:val="Normal"/>
        <w:spacing w:lineRule="exact" w:line="312" w:before="0" w:after="120"/>
        <w:jc w:val="both"/>
        <w:rPr/>
      </w:pPr>
      <w:r>
        <w:rPr>
          <w:rFonts w:eastAsia="Times New Roman" w:cs="Times New Roman"/>
          <w:sz w:val="24"/>
          <w:szCs w:val="24"/>
        </w:rPr>
        <w:t>In VR-Sets §IX.3 the question of the applicability of operational ontology to quantum mechanics was raised. VR-Forms provides a more complete apparatus for this direction.</w:t>
      </w:r>
    </w:p>
    <w:p>
      <w:pPr>
        <w:pStyle w:val="Normal"/>
        <w:spacing w:lineRule="exact" w:line="312" w:before="0" w:after="120"/>
        <w:jc w:val="both"/>
        <w:rPr/>
      </w:pPr>
      <w:r>
        <w:rPr>
          <w:rFonts w:eastAsia="Times New Roman" w:cs="Times New Roman"/>
          <w:sz w:val="24"/>
          <w:szCs w:val="24"/>
        </w:rPr>
        <w:t>Hypothesis: quantum mechanics of operational systems (with discrete spectrum of the Hamiltonian) is fully formulated in VR-Sets; quantum mechanics of continuous systems requires the formal register for its uncountable constructions (classical Hilbert space, spectral measure, projection-valued measure). At the same time the physically observable results — measurable quantities — should transit back into the operational.</w:t>
      </w:r>
    </w:p>
    <w:p>
      <w:pPr>
        <w:pStyle w:val="Normal"/>
        <w:spacing w:lineRule="exact" w:line="312" w:before="0" w:after="120"/>
        <w:jc w:val="both"/>
        <w:rPr/>
      </w:pPr>
      <w:r>
        <w:rPr>
          <w:rFonts w:eastAsia="Times New Roman" w:cs="Times New Roman"/>
          <w:sz w:val="24"/>
          <w:szCs w:val="24"/>
        </w:rPr>
        <w:t>Verification of this hypothesis on concrete physical examples is a task leading to a possible future work VR-Physics.</w:t>
      </w:r>
    </w:p>
    <w:p>
      <w:pPr>
        <w:pStyle w:val="Heading1"/>
        <w:spacing w:before="360" w:after="200"/>
        <w:jc w:val="left"/>
        <w:rPr/>
      </w:pPr>
      <w:r>
        <w:rPr>
          <w:rFonts w:eastAsia="Times New Roman" w:cs="Times New Roman" w:ascii="Times New Roman" w:hAnsi="Times New Roman"/>
          <w:b/>
          <w:bCs/>
          <w:sz w:val="32"/>
          <w:szCs w:val="32"/>
        </w:rPr>
        <w:t>VIII.3. Philosophical open questions</w:t>
      </w:r>
    </w:p>
    <w:p>
      <w:pPr>
        <w:pStyle w:val="Heading3"/>
        <w:spacing w:before="220" w:after="120"/>
        <w:jc w:val="left"/>
        <w:rPr/>
      </w:pPr>
      <w:r>
        <w:rPr>
          <w:rFonts w:eastAsia="Times New Roman" w:cs="Times New Roman" w:ascii="Times New Roman" w:hAnsi="Times New Roman"/>
          <w:b/>
          <w:bCs/>
          <w:sz w:val="25"/>
          <w:szCs w:val="25"/>
        </w:rPr>
        <w:t>Question 1: status of the formal term</w:t>
      </w:r>
    </w:p>
    <w:p>
      <w:pPr>
        <w:pStyle w:val="Normal"/>
        <w:spacing w:lineRule="exact" w:line="312" w:before="0" w:after="120"/>
        <w:jc w:val="both"/>
        <w:rPr/>
      </w:pPr>
      <w:r>
        <w:rPr>
          <w:rFonts w:eastAsia="Times New Roman" w:cs="Times New Roman"/>
          <w:sz w:val="24"/>
          <w:szCs w:val="24"/>
        </w:rPr>
        <w:t>In Part I §I.4 it was fixed: a formal term is simply a formula, without ontological status. This position is consistent but philosophically rigid. Open question: can an intermediate status of formal terms be found — for example, «existing in the sense of use», «existing as linguistic objects», «existing in Popper's third world»?</w:t>
      </w:r>
    </w:p>
    <w:p>
      <w:pPr>
        <w:pStyle w:val="Normal"/>
        <w:spacing w:lineRule="exact" w:line="312" w:before="0" w:after="120"/>
        <w:jc w:val="both"/>
        <w:rPr/>
      </w:pPr>
      <w:r>
        <w:rPr>
          <w:rFonts w:eastAsia="Times New Roman" w:cs="Times New Roman"/>
          <w:sz w:val="24"/>
          <w:szCs w:val="24"/>
        </w:rPr>
        <w:t>The present work declined such intermediate positions for the sake of clarity. The alternatives remain open for investigation.</w:t>
      </w:r>
    </w:p>
    <w:p>
      <w:pPr>
        <w:pStyle w:val="Heading3"/>
        <w:spacing w:before="220" w:after="120"/>
        <w:jc w:val="left"/>
        <w:rPr/>
      </w:pPr>
      <w:r>
        <w:rPr>
          <w:rFonts w:eastAsia="Times New Roman" w:cs="Times New Roman" w:ascii="Times New Roman" w:hAnsi="Times New Roman"/>
          <w:b/>
          <w:bCs/>
          <w:sz w:val="25"/>
          <w:szCs w:val="25"/>
        </w:rPr>
        <w:t>Question 2: place of VR-Forms among the foundations</w:t>
      </w:r>
    </w:p>
    <w:p>
      <w:pPr>
        <w:pStyle w:val="Normal"/>
        <w:spacing w:lineRule="exact" w:line="312" w:before="0" w:after="120"/>
        <w:jc w:val="both"/>
        <w:rPr/>
      </w:pPr>
      <w:r>
        <w:rPr>
          <w:rFonts w:eastAsia="Times New Roman" w:cs="Times New Roman"/>
          <w:sz w:val="24"/>
          <w:szCs w:val="24"/>
        </w:rPr>
        <w:t>VR-Forms positions itself as a minimalist operational ontology with formal extension. Close positions: Feferman's predicativism (FOM community), Bishop's countable constructivism, Bridgman's operationalism. VR-Forms differs from each, but the precise place on this map requires a separate philosophical study.</w:t>
      </w:r>
    </w:p>
    <w:p>
      <w:pPr>
        <w:pStyle w:val="Heading3"/>
        <w:spacing w:before="220" w:after="120"/>
        <w:jc w:val="left"/>
        <w:rPr/>
      </w:pPr>
      <w:r>
        <w:rPr>
          <w:rFonts w:eastAsia="Times New Roman" w:cs="Times New Roman" w:ascii="Times New Roman" w:hAnsi="Times New Roman"/>
          <w:b/>
          <w:bCs/>
          <w:sz w:val="25"/>
          <w:szCs w:val="25"/>
        </w:rPr>
        <w:t>Question 3: the next work of the cycle</w:t>
      </w:r>
    </w:p>
    <w:p>
      <w:pPr>
        <w:pStyle w:val="Normal"/>
        <w:spacing w:lineRule="exact" w:line="312" w:before="0" w:after="120"/>
        <w:jc w:val="both"/>
        <w:rPr/>
      </w:pPr>
      <w:r>
        <w:rPr>
          <w:rFonts w:eastAsia="Times New Roman" w:cs="Times New Roman"/>
          <w:sz w:val="24"/>
          <w:szCs w:val="24"/>
        </w:rPr>
        <w:t>VR-Forms is the fourth work of the cycle. Open candidates for the fifth:</w:t>
      </w:r>
    </w:p>
    <w:p>
      <w:pPr>
        <w:pStyle w:val="Normal"/>
        <w:spacing w:lineRule="exact" w:line="312" w:before="0" w:after="120"/>
        <w:jc w:val="both"/>
        <w:rPr/>
      </w:pPr>
      <w:r>
        <w:rPr>
          <w:rFonts w:eastAsia="Times New Roman" w:cs="Times New Roman"/>
          <w:sz w:val="24"/>
          <w:szCs w:val="24"/>
        </w:rPr>
        <w:t xml:space="preserve">(a) </w:t>
      </w:r>
      <w:r>
        <w:rPr>
          <w:rFonts w:eastAsia="Times New Roman" w:cs="Times New Roman"/>
          <w:b/>
          <w:bCs/>
          <w:sz w:val="24"/>
          <w:szCs w:val="24"/>
        </w:rPr>
        <w:t>VR-Audit</w:t>
      </w:r>
      <w:r>
        <w:rPr>
          <w:rFonts w:eastAsia="Times New Roman" w:cs="Times New Roman"/>
          <w:sz w:val="24"/>
          <w:szCs w:val="24"/>
        </w:rPr>
        <w:t xml:space="preserve"> — systematic analysis of classical mathematics through the lens of VR-Forms;</w:t>
      </w:r>
    </w:p>
    <w:p>
      <w:pPr>
        <w:pStyle w:val="Normal"/>
        <w:spacing w:lineRule="exact" w:line="312" w:before="0" w:after="120"/>
        <w:jc w:val="both"/>
        <w:rPr/>
      </w:pPr>
      <w:r>
        <w:rPr>
          <w:rFonts w:eastAsia="Times New Roman" w:cs="Times New Roman"/>
          <w:sz w:val="24"/>
          <w:szCs w:val="24"/>
        </w:rPr>
        <w:t xml:space="preserve">(b) </w:t>
      </w:r>
      <w:r>
        <w:rPr>
          <w:rFonts w:eastAsia="Times New Roman" w:cs="Times New Roman"/>
          <w:b/>
          <w:bCs/>
          <w:sz w:val="24"/>
          <w:szCs w:val="24"/>
        </w:rPr>
        <w:t>VR-Categories</w:t>
      </w:r>
      <w:r>
        <w:rPr>
          <w:rFonts w:eastAsia="Times New Roman" w:cs="Times New Roman"/>
          <w:sz w:val="24"/>
          <w:szCs w:val="24"/>
        </w:rPr>
        <w:t xml:space="preserve"> — categorical reformulation of VR-Sets and VR-Forms;</w:t>
      </w:r>
    </w:p>
    <w:p>
      <w:pPr>
        <w:pStyle w:val="Normal"/>
        <w:spacing w:lineRule="exact" w:line="312" w:before="0" w:after="120"/>
        <w:jc w:val="both"/>
        <w:rPr/>
      </w:pPr>
      <w:r>
        <w:rPr>
          <w:rFonts w:eastAsia="Times New Roman" w:cs="Times New Roman"/>
          <w:sz w:val="24"/>
          <w:szCs w:val="24"/>
        </w:rPr>
        <w:t xml:space="preserve">(c) </w:t>
      </w:r>
      <w:r>
        <w:rPr>
          <w:rFonts w:eastAsia="Times New Roman" w:cs="Times New Roman"/>
          <w:b/>
          <w:bCs/>
          <w:sz w:val="24"/>
          <w:szCs w:val="24"/>
        </w:rPr>
        <w:t>VR-Physics</w:t>
      </w:r>
      <w:r>
        <w:rPr>
          <w:rFonts w:eastAsia="Times New Roman" w:cs="Times New Roman"/>
          <w:sz w:val="24"/>
          <w:szCs w:val="24"/>
        </w:rPr>
        <w:t xml:space="preserve"> — operational reformulation of the foundations of physics;</w:t>
      </w:r>
    </w:p>
    <w:p>
      <w:pPr>
        <w:pStyle w:val="Normal"/>
        <w:spacing w:lineRule="exact" w:line="312" w:before="0" w:after="120"/>
        <w:jc w:val="both"/>
        <w:rPr/>
      </w:pPr>
      <w:r>
        <w:rPr>
          <w:rFonts w:eastAsia="Times New Roman" w:cs="Times New Roman"/>
          <w:sz w:val="24"/>
          <w:szCs w:val="24"/>
        </w:rPr>
        <w:t xml:space="preserve">(d) </w:t>
      </w:r>
      <w:r>
        <w:rPr>
          <w:rFonts w:eastAsia="Times New Roman" w:cs="Times New Roman"/>
          <w:b/>
          <w:bCs/>
          <w:sz w:val="24"/>
          <w:szCs w:val="24"/>
        </w:rPr>
        <w:t>VR-Logic</w:t>
      </w:r>
      <w:r>
        <w:rPr>
          <w:rFonts w:eastAsia="Times New Roman" w:cs="Times New Roman"/>
          <w:sz w:val="24"/>
          <w:szCs w:val="24"/>
        </w:rPr>
        <w:t xml:space="preserve"> — detailed elaboration of the A1-duality into a self-standing operational logic.</w:t>
      </w:r>
    </w:p>
    <w:p>
      <w:pPr>
        <w:pStyle w:val="Normal"/>
        <w:spacing w:lineRule="exact" w:line="312" w:before="0" w:after="120"/>
        <w:jc w:val="both"/>
        <w:rPr/>
      </w:pPr>
      <w:r>
        <w:rPr>
          <w:rFonts w:eastAsia="Times New Roman" w:cs="Times New Roman"/>
          <w:sz w:val="24"/>
          <w:szCs w:val="24"/>
        </w:rPr>
        <w:t>The natural choice is VR-Audit, as a direct application of the VR-Forms apparatus. VR-Categories and VR-Physics presuppose more extended programmes. VR-Logic is a parallel branch developed independently.</w:t>
      </w:r>
    </w:p>
    <w:p>
      <w:pPr>
        <w:pStyle w:val="Heading1"/>
        <w:spacing w:before="360" w:after="200"/>
        <w:jc w:val="left"/>
        <w:rPr/>
      </w:pPr>
      <w:r>
        <w:rPr>
          <w:rFonts w:eastAsia="Times New Roman" w:cs="Times New Roman" w:ascii="Times New Roman" w:hAnsi="Times New Roman"/>
          <w:b/>
          <w:bCs/>
          <w:sz w:val="32"/>
          <w:szCs w:val="32"/>
        </w:rPr>
        <w:t>VIII.4. Conclusion</w:t>
      </w:r>
    </w:p>
    <w:p>
      <w:pPr>
        <w:pStyle w:val="Heading3"/>
        <w:spacing w:before="220" w:after="120"/>
        <w:jc w:val="left"/>
        <w:rPr/>
      </w:pPr>
      <w:r>
        <w:rPr>
          <w:rFonts w:eastAsia="Times New Roman" w:cs="Times New Roman" w:ascii="Times New Roman" w:hAnsi="Times New Roman"/>
          <w:b/>
          <w:bCs/>
          <w:sz w:val="25"/>
          <w:szCs w:val="25"/>
        </w:rPr>
        <w:t>Completion of the VR cycle</w:t>
      </w:r>
    </w:p>
    <w:p>
      <w:pPr>
        <w:pStyle w:val="Normal"/>
        <w:spacing w:lineRule="exact" w:line="312" w:before="0" w:after="120"/>
        <w:jc w:val="both"/>
        <w:rPr/>
      </w:pPr>
      <w:r>
        <w:rPr>
          <w:rFonts w:eastAsia="Times New Roman" w:cs="Times New Roman"/>
          <w:sz w:val="24"/>
          <w:szCs w:val="24"/>
        </w:rPr>
        <w:t>The VR cycle in its current form — four works:</w:t>
      </w:r>
    </w:p>
    <w:p>
      <w:pPr>
        <w:pStyle w:val="Normal"/>
        <w:spacing w:lineRule="exact" w:line="312" w:before="0" w:after="120"/>
        <w:jc w:val="both"/>
        <w:rPr/>
      </w:pPr>
      <w:r>
        <w:rPr>
          <w:rFonts w:eastAsia="Times New Roman" w:cs="Times New Roman"/>
          <w:sz w:val="24"/>
          <w:szCs w:val="24"/>
        </w:rPr>
        <w:t xml:space="preserve">(1) </w:t>
      </w:r>
      <w:r>
        <w:rPr>
          <w:rFonts w:eastAsia="Times New Roman" w:cs="Times New Roman"/>
          <w:b/>
          <w:bCs/>
          <w:sz w:val="24"/>
          <w:szCs w:val="24"/>
        </w:rPr>
        <w:t>VR. A Formal System</w:t>
      </w:r>
      <w:r>
        <w:rPr>
          <w:rFonts w:eastAsia="Times New Roman" w:cs="Times New Roman"/>
          <w:sz w:val="24"/>
          <w:szCs w:val="24"/>
        </w:rPr>
        <w:t xml:space="preserve"> — arithmetic on minimal ontology.</w:t>
      </w:r>
    </w:p>
    <w:p>
      <w:pPr>
        <w:pStyle w:val="Normal"/>
        <w:spacing w:lineRule="exact" w:line="312" w:before="0" w:after="120"/>
        <w:jc w:val="both"/>
        <w:rPr/>
      </w:pPr>
      <w:r>
        <w:rPr>
          <w:rFonts w:eastAsia="Times New Roman" w:cs="Times New Roman"/>
          <w:sz w:val="24"/>
          <w:szCs w:val="24"/>
        </w:rPr>
        <w:t xml:space="preserve">(2) </w:t>
      </w:r>
      <w:r>
        <w:rPr>
          <w:rFonts w:eastAsia="Times New Roman" w:cs="Times New Roman"/>
          <w:b/>
          <w:bCs/>
          <w:sz w:val="24"/>
          <w:szCs w:val="24"/>
        </w:rPr>
        <w:t>VR-Numbers</w:t>
      </w:r>
      <w:r>
        <w:rPr>
          <w:rFonts w:eastAsia="Times New Roman" w:cs="Times New Roman"/>
          <w:sz w:val="24"/>
          <w:szCs w:val="24"/>
        </w:rPr>
        <w:t xml:space="preserve"> — numerical extensions over minimal ontology.</w:t>
      </w:r>
    </w:p>
    <w:p>
      <w:pPr>
        <w:pStyle w:val="Normal"/>
        <w:spacing w:lineRule="exact" w:line="312" w:before="0" w:after="120"/>
        <w:jc w:val="both"/>
        <w:rPr/>
      </w:pPr>
      <w:r>
        <w:rPr>
          <w:rFonts w:eastAsia="Times New Roman" w:cs="Times New Roman"/>
          <w:sz w:val="24"/>
          <w:szCs w:val="24"/>
        </w:rPr>
        <w:t xml:space="preserve">(3) </w:t>
      </w:r>
      <w:r>
        <w:rPr>
          <w:rFonts w:eastAsia="Times New Roman" w:cs="Times New Roman"/>
          <w:b/>
          <w:bCs/>
          <w:sz w:val="24"/>
          <w:szCs w:val="24"/>
        </w:rPr>
        <w:t>VR-Sets</w:t>
      </w:r>
      <w:r>
        <w:rPr>
          <w:rFonts w:eastAsia="Times New Roman" w:cs="Times New Roman"/>
          <w:sz w:val="24"/>
          <w:szCs w:val="24"/>
        </w:rPr>
        <w:t xml:space="preserve"> — set theory; for the first time reveals the boundary of operational ontology (countability of the universe).</w:t>
      </w:r>
    </w:p>
    <w:p>
      <w:pPr>
        <w:pStyle w:val="Normal"/>
        <w:spacing w:lineRule="exact" w:line="312" w:before="0" w:after="120"/>
        <w:jc w:val="both"/>
        <w:rPr/>
      </w:pPr>
      <w:r>
        <w:rPr>
          <w:rFonts w:eastAsia="Times New Roman" w:cs="Times New Roman"/>
          <w:sz w:val="24"/>
          <w:szCs w:val="24"/>
        </w:rPr>
        <w:t xml:space="preserve">(4) </w:t>
      </w:r>
      <w:r>
        <w:rPr>
          <w:rFonts w:eastAsia="Times New Roman" w:cs="Times New Roman"/>
          <w:b/>
          <w:bCs/>
          <w:sz w:val="24"/>
          <w:szCs w:val="24"/>
        </w:rPr>
        <w:t>VR-Forms</w:t>
      </w:r>
      <w:r>
        <w:rPr>
          <w:rFonts w:eastAsia="Times New Roman" w:cs="Times New Roman"/>
          <w:sz w:val="24"/>
          <w:szCs w:val="24"/>
        </w:rPr>
        <w:t xml:space="preserve"> — a formal language for speech about what lies beyond the boundary. Closes the ontological contour: now VR can speak about everything, having in its ontology only ∅ and the operational.</w:t>
      </w:r>
    </w:p>
    <w:p>
      <w:pPr>
        <w:pStyle w:val="Normal"/>
        <w:spacing w:lineRule="exact" w:line="312" w:before="0" w:after="120"/>
        <w:jc w:val="both"/>
        <w:rPr/>
      </w:pPr>
      <w:r>
        <w:rPr>
          <w:rFonts w:eastAsia="Times New Roman" w:cs="Times New Roman"/>
          <w:sz w:val="24"/>
          <w:szCs w:val="24"/>
        </w:rPr>
        <w:t>The slogan of the cycle, carried through the four works:</w:t>
      </w:r>
    </w:p>
    <w:p>
      <w:pPr>
        <w:pStyle w:val="Normal"/>
        <w:spacing w:lineRule="exact" w:line="312" w:before="0" w:after="120"/>
        <w:jc w:val="both"/>
        <w:rPr/>
      </w:pPr>
      <w:r>
        <w:rPr>
          <w:rFonts w:eastAsia="Times New Roman" w:cs="Times New Roman"/>
          <w:i/>
          <w:iCs/>
          <w:sz w:val="24"/>
          <w:szCs w:val="24"/>
        </w:rPr>
        <w:t>«Only ∅ is. Everything else either acts or is said. Action is operational and relates to ∅; speech is formal and refers to nothing by necessity.»</w:t>
      </w:r>
    </w:p>
    <w:p>
      <w:pPr>
        <w:pStyle w:val="Heading3"/>
        <w:spacing w:before="220" w:after="120"/>
        <w:jc w:val="left"/>
        <w:rPr/>
      </w:pPr>
      <w:r>
        <w:rPr>
          <w:rFonts w:eastAsia="Times New Roman" w:cs="Times New Roman" w:ascii="Times New Roman" w:hAnsi="Times New Roman"/>
          <w:b/>
          <w:bCs/>
          <w:sz w:val="25"/>
          <w:szCs w:val="25"/>
        </w:rPr>
        <w:t>What the cycle demonstrates</w:t>
      </w:r>
    </w:p>
    <w:p>
      <w:pPr>
        <w:pStyle w:val="Normal"/>
        <w:spacing w:lineRule="exact" w:line="312" w:before="0" w:after="120"/>
        <w:jc w:val="both"/>
        <w:rPr/>
      </w:pPr>
      <w:r>
        <w:rPr>
          <w:rFonts w:eastAsia="Times New Roman" w:cs="Times New Roman"/>
          <w:sz w:val="24"/>
          <w:szCs w:val="24"/>
        </w:rPr>
        <w:t xml:space="preserve">The VR cycle in its completed form demonstrates: </w:t>
      </w:r>
      <w:r>
        <w:rPr>
          <w:rFonts w:eastAsia="Times New Roman" w:cs="Times New Roman"/>
          <w:b/>
          <w:bCs/>
          <w:sz w:val="24"/>
          <w:szCs w:val="24"/>
        </w:rPr>
        <w:t>ontological minimalism is possible and workable</w:t>
      </w:r>
      <w:r>
        <w:rPr>
          <w:rFonts w:eastAsia="Times New Roman" w:cs="Times New Roman"/>
          <w:sz w:val="24"/>
          <w:szCs w:val="24"/>
        </w:rPr>
        <w:t>. On the sole primitive ∅ are built arithmetic, numerical extensions, set theory; for the description of the non-operational a formal register is introduced, not violating the minimalism. No additional ontological commitments are accepted; nothing of classical mathematics or speech in general is left without a place.</w:t>
      </w:r>
    </w:p>
    <w:p>
      <w:pPr>
        <w:pStyle w:val="Normal"/>
        <w:spacing w:lineRule="exact" w:line="312" w:before="0" w:after="120"/>
        <w:jc w:val="both"/>
        <w:rPr/>
      </w:pPr>
      <w:r>
        <w:rPr>
          <w:rFonts w:eastAsia="Times New Roman" w:cs="Times New Roman"/>
          <w:sz w:val="24"/>
          <w:szCs w:val="24"/>
        </w:rPr>
        <w:t xml:space="preserve">This is a philosophical position carried through a formal apparatus. It does not claim exclusivity: classical ZFC, constructivism, formalism, categorical set theory — all remain legitimate alternatives. But the VR cycle shows that minimal operational ontology is a </w:t>
      </w:r>
      <w:r>
        <w:rPr>
          <w:rFonts w:eastAsia="Times New Roman" w:cs="Times New Roman"/>
          <w:b/>
          <w:bCs/>
          <w:sz w:val="24"/>
          <w:szCs w:val="24"/>
        </w:rPr>
        <w:t>substantive and consistent option</w:t>
      </w:r>
      <w:r>
        <w:rPr>
          <w:rFonts w:eastAsia="Times New Roman" w:cs="Times New Roman"/>
          <w:sz w:val="24"/>
          <w:szCs w:val="24"/>
        </w:rPr>
        <w:t>, capable of serving as a foundation for mathematics and as a language for speech in general.</w:t>
      </w:r>
    </w:p>
    <w:p>
      <w:pPr>
        <w:pStyle w:val="Heading3"/>
        <w:spacing w:before="220" w:after="120"/>
        <w:jc w:val="left"/>
        <w:rPr/>
      </w:pPr>
      <w:r>
        <w:rPr>
          <w:rFonts w:eastAsia="Times New Roman" w:cs="Times New Roman" w:ascii="Times New Roman" w:hAnsi="Times New Roman"/>
          <w:b/>
          <w:bCs/>
          <w:sz w:val="25"/>
          <w:szCs w:val="25"/>
        </w:rPr>
        <w:t>What the cycle does not do</w:t>
      </w:r>
    </w:p>
    <w:p>
      <w:pPr>
        <w:pStyle w:val="Normal"/>
        <w:spacing w:lineRule="exact" w:line="312" w:before="0" w:after="120"/>
        <w:jc w:val="both"/>
        <w:rPr/>
      </w:pPr>
      <w:r>
        <w:rPr>
          <w:rFonts w:eastAsia="Times New Roman" w:cs="Times New Roman"/>
          <w:sz w:val="24"/>
          <w:szCs w:val="24"/>
        </w:rPr>
        <w:t>The cycle does not prove the ontological reality of ∅ — this is an ontological position, not a theorem. The cycle does not deny ontologies other than VR — it only clearly fixes its own and works relative to it. The cycle does not claim instrumental superiority over classical foundations — the programme of VR-Audit is precisely what is intended to systematically check in which cases VR provides something beyond the known.</w:t>
      </w:r>
    </w:p>
    <w:p>
      <w:pPr>
        <w:pStyle w:val="Normal"/>
        <w:spacing w:lineRule="exact" w:line="312" w:before="0" w:after="120"/>
        <w:jc w:val="both"/>
        <w:rPr/>
      </w:pPr>
      <w:r>
        <w:rPr>
          <w:rFonts w:eastAsia="Times New Roman" w:cs="Times New Roman"/>
          <w:sz w:val="24"/>
          <w:szCs w:val="24"/>
        </w:rPr>
        <w:t xml:space="preserve">The mature role of VR is not as an alternative to classical foundations, but as a </w:t>
      </w:r>
      <w:r>
        <w:rPr>
          <w:rFonts w:eastAsia="Times New Roman" w:cs="Times New Roman"/>
          <w:b/>
          <w:bCs/>
          <w:sz w:val="24"/>
          <w:szCs w:val="24"/>
        </w:rPr>
        <w:t>transparent and minimalist point of view</w:t>
      </w:r>
      <w:r>
        <w:rPr>
          <w:rFonts w:eastAsia="Times New Roman" w:cs="Times New Roman"/>
          <w:sz w:val="24"/>
          <w:szCs w:val="24"/>
        </w:rPr>
        <w:t>, relative to which classical foundations receive a clear classification (through VR-Audit). This is methodological value, not mathematical revolution.</w:t>
      </w:r>
    </w:p>
    <w:p>
      <w:pPr>
        <w:pStyle w:val="Heading1"/>
        <w:spacing w:before="360" w:after="200"/>
        <w:jc w:val="left"/>
        <w:rPr/>
      </w:pPr>
      <w:r>
        <w:rPr>
          <w:rFonts w:eastAsia="Times New Roman" w:cs="Times New Roman" w:ascii="Times New Roman" w:hAnsi="Times New Roman"/>
          <w:b/>
          <w:bCs/>
          <w:sz w:val="32"/>
          <w:szCs w:val="32"/>
        </w:rPr>
        <w:t>References</w:t>
      </w:r>
    </w:p>
    <w:p>
      <w:pPr>
        <w:pStyle w:val="Normal"/>
        <w:spacing w:lineRule="exact" w:line="312" w:before="0" w:after="120"/>
        <w:jc w:val="both"/>
        <w:rPr/>
      </w:pPr>
      <w:r>
        <w:rPr>
          <w:rFonts w:eastAsia="Times New Roman" w:cs="Times New Roman"/>
          <w:sz w:val="24"/>
          <w:szCs w:val="24"/>
        </w:rPr>
        <w:t xml:space="preserve">Aczel, P. (1988). </w:t>
      </w:r>
      <w:r>
        <w:rPr>
          <w:rFonts w:eastAsia="Times New Roman" w:cs="Times New Roman"/>
          <w:i/>
          <w:iCs/>
          <w:sz w:val="24"/>
          <w:szCs w:val="24"/>
        </w:rPr>
        <w:t>Non-Well-Founded Sets</w:t>
      </w:r>
      <w:r>
        <w:rPr>
          <w:rFonts w:eastAsia="Times New Roman" w:cs="Times New Roman"/>
          <w:sz w:val="24"/>
          <w:szCs w:val="24"/>
        </w:rPr>
        <w:t>. CSLI Lecture Notes, No. 14. Stanford.</w:t>
      </w:r>
    </w:p>
    <w:p>
      <w:pPr>
        <w:pStyle w:val="Normal"/>
        <w:spacing w:lineRule="exact" w:line="312" w:before="0" w:after="120"/>
        <w:jc w:val="both"/>
        <w:rPr/>
      </w:pPr>
      <w:r>
        <w:rPr>
          <w:rFonts w:eastAsia="Times New Roman" w:cs="Times New Roman"/>
          <w:sz w:val="24"/>
          <w:szCs w:val="24"/>
        </w:rPr>
        <w:t xml:space="preserve">Bencivenga, E. (2002). Free logics. In D. Gabbay &amp; F. Guenthner (Eds.), </w:t>
      </w:r>
      <w:r>
        <w:rPr>
          <w:rFonts w:eastAsia="Times New Roman" w:cs="Times New Roman"/>
          <w:i/>
          <w:iCs/>
          <w:sz w:val="24"/>
          <w:szCs w:val="24"/>
        </w:rPr>
        <w:t>Handbook of Philosophical Logic</w:t>
      </w:r>
      <w:r>
        <w:rPr>
          <w:rFonts w:eastAsia="Times New Roman" w:cs="Times New Roman"/>
          <w:sz w:val="24"/>
          <w:szCs w:val="24"/>
        </w:rPr>
        <w:t>, Vol. 5 (pp. 147–196). Springer.</w:t>
      </w:r>
    </w:p>
    <w:p>
      <w:pPr>
        <w:pStyle w:val="Normal"/>
        <w:spacing w:lineRule="exact" w:line="312" w:before="0" w:after="120"/>
        <w:jc w:val="both"/>
        <w:rPr/>
      </w:pPr>
      <w:r>
        <w:rPr>
          <w:rFonts w:eastAsia="Times New Roman" w:cs="Times New Roman"/>
          <w:sz w:val="24"/>
          <w:szCs w:val="24"/>
        </w:rPr>
        <w:t xml:space="preserve">Benacerraf, P. (1965). What numbers could not be. </w:t>
      </w:r>
      <w:r>
        <w:rPr>
          <w:rFonts w:eastAsia="Times New Roman" w:cs="Times New Roman"/>
          <w:i/>
          <w:iCs/>
          <w:sz w:val="24"/>
          <w:szCs w:val="24"/>
        </w:rPr>
        <w:t>The Philosophical Review</w:t>
      </w:r>
      <w:r>
        <w:rPr>
          <w:rFonts w:eastAsia="Times New Roman" w:cs="Times New Roman"/>
          <w:sz w:val="24"/>
          <w:szCs w:val="24"/>
        </w:rPr>
        <w:t>, 74(1), 47–73.</w:t>
      </w:r>
    </w:p>
    <w:p>
      <w:pPr>
        <w:pStyle w:val="Normal"/>
        <w:spacing w:lineRule="exact" w:line="312" w:before="0" w:after="120"/>
        <w:jc w:val="both"/>
        <w:rPr/>
      </w:pPr>
      <w:r>
        <w:rPr>
          <w:rFonts w:eastAsia="Times New Roman" w:cs="Times New Roman"/>
          <w:sz w:val="24"/>
          <w:szCs w:val="24"/>
        </w:rPr>
        <w:t xml:space="preserve">Bernays, P. (1937). A system of axiomatic set theory. </w:t>
      </w:r>
      <w:r>
        <w:rPr>
          <w:rFonts w:eastAsia="Times New Roman" w:cs="Times New Roman"/>
          <w:i/>
          <w:iCs/>
          <w:sz w:val="24"/>
          <w:szCs w:val="24"/>
        </w:rPr>
        <w:t>Journal of Symbolic Logic</w:t>
      </w:r>
      <w:r>
        <w:rPr>
          <w:rFonts w:eastAsia="Times New Roman" w:cs="Times New Roman"/>
          <w:sz w:val="24"/>
          <w:szCs w:val="24"/>
        </w:rPr>
        <w:t>, 2(1), 65–77.</w:t>
      </w:r>
    </w:p>
    <w:p>
      <w:pPr>
        <w:pStyle w:val="Normal"/>
        <w:spacing w:lineRule="exact" w:line="312" w:before="0" w:after="120"/>
        <w:jc w:val="both"/>
        <w:rPr/>
      </w:pPr>
      <w:r>
        <w:rPr>
          <w:rFonts w:eastAsia="Times New Roman" w:cs="Times New Roman"/>
          <w:sz w:val="24"/>
          <w:szCs w:val="24"/>
        </w:rPr>
        <w:t xml:space="preserve">Bishop, E. (1967). </w:t>
      </w:r>
      <w:r>
        <w:rPr>
          <w:rFonts w:eastAsia="Times New Roman" w:cs="Times New Roman"/>
          <w:i/>
          <w:iCs/>
          <w:sz w:val="24"/>
          <w:szCs w:val="24"/>
        </w:rPr>
        <w:t>Foundations of Constructive Analysis</w:t>
      </w:r>
      <w:r>
        <w:rPr>
          <w:rFonts w:eastAsia="Times New Roman" w:cs="Times New Roman"/>
          <w:sz w:val="24"/>
          <w:szCs w:val="24"/>
        </w:rPr>
        <w:t>. McGraw-Hill.</w:t>
      </w:r>
    </w:p>
    <w:p>
      <w:pPr>
        <w:pStyle w:val="Normal"/>
        <w:spacing w:lineRule="exact" w:line="312" w:before="0" w:after="120"/>
        <w:jc w:val="both"/>
        <w:rPr/>
      </w:pPr>
      <w:r>
        <w:rPr>
          <w:rFonts w:eastAsia="Times New Roman" w:cs="Times New Roman"/>
          <w:sz w:val="24"/>
          <w:szCs w:val="24"/>
        </w:rPr>
        <w:t xml:space="preserve">Bridges, D., &amp; Richman, F. (1987). </w:t>
      </w:r>
      <w:r>
        <w:rPr>
          <w:rFonts w:eastAsia="Times New Roman" w:cs="Times New Roman"/>
          <w:i/>
          <w:iCs/>
          <w:sz w:val="24"/>
          <w:szCs w:val="24"/>
        </w:rPr>
        <w:t>Varieties of Constructive Mathematics</w:t>
      </w:r>
      <w:r>
        <w:rPr>
          <w:rFonts w:eastAsia="Times New Roman" w:cs="Times New Roman"/>
          <w:sz w:val="24"/>
          <w:szCs w:val="24"/>
        </w:rPr>
        <w:t>. Cambridge University Press.</w:t>
      </w:r>
    </w:p>
    <w:p>
      <w:pPr>
        <w:pStyle w:val="Normal"/>
        <w:spacing w:lineRule="exact" w:line="312" w:before="0" w:after="120"/>
        <w:jc w:val="both"/>
        <w:rPr/>
      </w:pPr>
      <w:r>
        <w:rPr>
          <w:rFonts w:eastAsia="Times New Roman" w:cs="Times New Roman"/>
          <w:sz w:val="24"/>
          <w:szCs w:val="24"/>
        </w:rPr>
        <w:t xml:space="preserve">Brouwer, L. E. J. (1907). </w:t>
      </w:r>
      <w:r>
        <w:rPr>
          <w:rFonts w:eastAsia="Times New Roman" w:cs="Times New Roman"/>
          <w:i/>
          <w:iCs/>
          <w:sz w:val="24"/>
          <w:szCs w:val="24"/>
        </w:rPr>
        <w:t>Over de Grondslagen der Wiskunde</w:t>
      </w:r>
      <w:r>
        <w:rPr>
          <w:rFonts w:eastAsia="Times New Roman" w:cs="Times New Roman"/>
          <w:sz w:val="24"/>
          <w:szCs w:val="24"/>
        </w:rPr>
        <w:t>. Doctoral dissertation, University of Amsterdam.</w:t>
      </w:r>
    </w:p>
    <w:p>
      <w:pPr>
        <w:pStyle w:val="Normal"/>
        <w:spacing w:lineRule="exact" w:line="312" w:before="0" w:after="120"/>
        <w:jc w:val="both"/>
        <w:rPr/>
      </w:pPr>
      <w:r>
        <w:rPr>
          <w:rFonts w:eastAsia="Times New Roman" w:cs="Times New Roman"/>
          <w:sz w:val="24"/>
          <w:szCs w:val="24"/>
        </w:rPr>
        <w:t xml:space="preserve">Feferman, S. (1964). Systems of predicative analysis. </w:t>
      </w:r>
      <w:r>
        <w:rPr>
          <w:rFonts w:eastAsia="Times New Roman" w:cs="Times New Roman"/>
          <w:i/>
          <w:iCs/>
          <w:sz w:val="24"/>
          <w:szCs w:val="24"/>
        </w:rPr>
        <w:t>The Journal of Symbolic Logic</w:t>
      </w:r>
      <w:r>
        <w:rPr>
          <w:rFonts w:eastAsia="Times New Roman" w:cs="Times New Roman"/>
          <w:sz w:val="24"/>
          <w:szCs w:val="24"/>
        </w:rPr>
        <w:t>, 29(1), 1–30.</w:t>
      </w:r>
    </w:p>
    <w:p>
      <w:pPr>
        <w:pStyle w:val="Normal"/>
        <w:spacing w:lineRule="exact" w:line="312" w:before="0" w:after="120"/>
        <w:jc w:val="both"/>
        <w:rPr/>
      </w:pPr>
      <w:r>
        <w:rPr>
          <w:rFonts w:eastAsia="Times New Roman" w:cs="Times New Roman"/>
          <w:sz w:val="24"/>
          <w:szCs w:val="24"/>
        </w:rPr>
        <w:t xml:space="preserve">Field, H. (1980). </w:t>
      </w:r>
      <w:r>
        <w:rPr>
          <w:rFonts w:eastAsia="Times New Roman" w:cs="Times New Roman"/>
          <w:i/>
          <w:iCs/>
          <w:sz w:val="24"/>
          <w:szCs w:val="24"/>
        </w:rPr>
        <w:t>Science Without Numbers</w:t>
      </w:r>
      <w:r>
        <w:rPr>
          <w:rFonts w:eastAsia="Times New Roman" w:cs="Times New Roman"/>
          <w:sz w:val="24"/>
          <w:szCs w:val="24"/>
        </w:rPr>
        <w:t>. Princeton University Press.</w:t>
      </w:r>
    </w:p>
    <w:p>
      <w:pPr>
        <w:pStyle w:val="Normal"/>
        <w:spacing w:lineRule="exact" w:line="312" w:before="0" w:after="120"/>
        <w:jc w:val="both"/>
        <w:rPr/>
      </w:pPr>
      <w:r>
        <w:rPr>
          <w:rFonts w:eastAsia="Times New Roman" w:cs="Times New Roman"/>
          <w:sz w:val="24"/>
          <w:szCs w:val="24"/>
        </w:rPr>
        <w:t xml:space="preserve">Gödel, K. (1944). Russell's mathematical logic. In P. A. Schilpp (Ed.), </w:t>
      </w:r>
      <w:r>
        <w:rPr>
          <w:rFonts w:eastAsia="Times New Roman" w:cs="Times New Roman"/>
          <w:i/>
          <w:iCs/>
          <w:sz w:val="24"/>
          <w:szCs w:val="24"/>
        </w:rPr>
        <w:t>The Philosophy of Bertrand Russell</w:t>
      </w:r>
      <w:r>
        <w:rPr>
          <w:rFonts w:eastAsia="Times New Roman" w:cs="Times New Roman"/>
          <w:sz w:val="24"/>
          <w:szCs w:val="24"/>
        </w:rPr>
        <w:t>. Northwestern University.</w:t>
      </w:r>
    </w:p>
    <w:p>
      <w:pPr>
        <w:pStyle w:val="Normal"/>
        <w:spacing w:lineRule="exact" w:line="312" w:before="0" w:after="120"/>
        <w:jc w:val="both"/>
        <w:rPr/>
      </w:pPr>
      <w:r>
        <w:rPr>
          <w:rFonts w:eastAsia="Times New Roman" w:cs="Times New Roman"/>
          <w:sz w:val="24"/>
          <w:szCs w:val="24"/>
        </w:rPr>
        <w:t xml:space="preserve">Heyting, A. (1956). </w:t>
      </w:r>
      <w:r>
        <w:rPr>
          <w:rFonts w:eastAsia="Times New Roman" w:cs="Times New Roman"/>
          <w:i/>
          <w:iCs/>
          <w:sz w:val="24"/>
          <w:szCs w:val="24"/>
        </w:rPr>
        <w:t>Intuitionism: An Introduction</w:t>
      </w:r>
      <w:r>
        <w:rPr>
          <w:rFonts w:eastAsia="Times New Roman" w:cs="Times New Roman"/>
          <w:sz w:val="24"/>
          <w:szCs w:val="24"/>
        </w:rPr>
        <w:t>. North-Holland.</w:t>
      </w:r>
    </w:p>
    <w:p>
      <w:pPr>
        <w:pStyle w:val="Normal"/>
        <w:spacing w:lineRule="exact" w:line="312" w:before="0" w:after="120"/>
        <w:jc w:val="both"/>
        <w:rPr/>
      </w:pPr>
      <w:r>
        <w:rPr>
          <w:rFonts w:eastAsia="Times New Roman" w:cs="Times New Roman"/>
          <w:sz w:val="24"/>
          <w:szCs w:val="24"/>
        </w:rPr>
        <w:t xml:space="preserve">Hilbert, D. (1926). Über das Unendliche. </w:t>
      </w:r>
      <w:r>
        <w:rPr>
          <w:rFonts w:eastAsia="Times New Roman" w:cs="Times New Roman"/>
          <w:i/>
          <w:iCs/>
          <w:sz w:val="24"/>
          <w:szCs w:val="24"/>
        </w:rPr>
        <w:t>Mathematische Annalen</w:t>
      </w:r>
      <w:r>
        <w:rPr>
          <w:rFonts w:eastAsia="Times New Roman" w:cs="Times New Roman"/>
          <w:sz w:val="24"/>
          <w:szCs w:val="24"/>
        </w:rPr>
        <w:t>, 95(1), 161–190.</w:t>
      </w:r>
    </w:p>
    <w:p>
      <w:pPr>
        <w:pStyle w:val="Normal"/>
        <w:spacing w:lineRule="exact" w:line="312" w:before="0" w:after="120"/>
        <w:jc w:val="both"/>
        <w:rPr/>
      </w:pPr>
      <w:r>
        <w:rPr>
          <w:rFonts w:eastAsia="Times New Roman" w:cs="Times New Roman"/>
          <w:sz w:val="24"/>
          <w:szCs w:val="24"/>
        </w:rPr>
        <w:t xml:space="preserve">Kleene, S. C. (1945). On the interpretation of intuitionistic number theory. </w:t>
      </w:r>
      <w:r>
        <w:rPr>
          <w:rFonts w:eastAsia="Times New Roman" w:cs="Times New Roman"/>
          <w:i/>
          <w:iCs/>
          <w:sz w:val="24"/>
          <w:szCs w:val="24"/>
        </w:rPr>
        <w:t>Journal of Symbolic Logic</w:t>
      </w:r>
      <w:r>
        <w:rPr>
          <w:rFonts w:eastAsia="Times New Roman" w:cs="Times New Roman"/>
          <w:sz w:val="24"/>
          <w:szCs w:val="24"/>
        </w:rPr>
        <w:t>, 10(4), 109–124.</w:t>
      </w:r>
    </w:p>
    <w:p>
      <w:pPr>
        <w:pStyle w:val="Normal"/>
        <w:spacing w:lineRule="exact" w:line="312" w:before="0" w:after="120"/>
        <w:jc w:val="both"/>
        <w:rPr/>
      </w:pPr>
      <w:r>
        <w:rPr>
          <w:rFonts w:eastAsia="Times New Roman" w:cs="Times New Roman"/>
          <w:sz w:val="24"/>
          <w:szCs w:val="24"/>
        </w:rPr>
        <w:t xml:space="preserve">Lambert, K. (1991). </w:t>
      </w:r>
      <w:r>
        <w:rPr>
          <w:rFonts w:eastAsia="Times New Roman" w:cs="Times New Roman"/>
          <w:i/>
          <w:iCs/>
          <w:sz w:val="24"/>
          <w:szCs w:val="24"/>
        </w:rPr>
        <w:t>Philosophical Applications of Free Logic</w:t>
      </w:r>
      <w:r>
        <w:rPr>
          <w:rFonts w:eastAsia="Times New Roman" w:cs="Times New Roman"/>
          <w:sz w:val="24"/>
          <w:szCs w:val="24"/>
        </w:rPr>
        <w:t>. Oxford University Press.</w:t>
      </w:r>
    </w:p>
    <w:p>
      <w:pPr>
        <w:pStyle w:val="Normal"/>
        <w:spacing w:lineRule="exact" w:line="312" w:before="0" w:after="120"/>
        <w:jc w:val="both"/>
        <w:rPr/>
      </w:pPr>
      <w:r>
        <w:rPr>
          <w:rFonts w:eastAsia="Times New Roman" w:cs="Times New Roman"/>
          <w:sz w:val="24"/>
          <w:szCs w:val="24"/>
        </w:rPr>
        <w:t xml:space="preserve">Lawvere, F. W. (1964). An elementary theory of the category of sets. </w:t>
      </w:r>
      <w:r>
        <w:rPr>
          <w:rFonts w:eastAsia="Times New Roman" w:cs="Times New Roman"/>
          <w:i/>
          <w:iCs/>
          <w:sz w:val="24"/>
          <w:szCs w:val="24"/>
        </w:rPr>
        <w:t>Proceedings of the National Academy of Sciences</w:t>
      </w:r>
      <w:r>
        <w:rPr>
          <w:rFonts w:eastAsia="Times New Roman" w:cs="Times New Roman"/>
          <w:sz w:val="24"/>
          <w:szCs w:val="24"/>
        </w:rPr>
        <w:t>, 52(6), 1506–1511.</w:t>
      </w:r>
    </w:p>
    <w:p>
      <w:pPr>
        <w:pStyle w:val="Normal"/>
        <w:spacing w:lineRule="exact" w:line="312" w:before="0" w:after="120"/>
        <w:jc w:val="both"/>
        <w:rPr/>
      </w:pPr>
      <w:r>
        <w:rPr>
          <w:rFonts w:eastAsia="Times New Roman" w:cs="Times New Roman"/>
          <w:sz w:val="24"/>
          <w:szCs w:val="24"/>
        </w:rPr>
        <w:t xml:space="preserve">Löwenheim, L. (1915). Über Möglichkeiten im Relativkalkül. </w:t>
      </w:r>
      <w:r>
        <w:rPr>
          <w:rFonts w:eastAsia="Times New Roman" w:cs="Times New Roman"/>
          <w:i/>
          <w:iCs/>
          <w:sz w:val="24"/>
          <w:szCs w:val="24"/>
        </w:rPr>
        <w:t>Mathematische Annalen</w:t>
      </w:r>
      <w:r>
        <w:rPr>
          <w:rFonts w:eastAsia="Times New Roman" w:cs="Times New Roman"/>
          <w:sz w:val="24"/>
          <w:szCs w:val="24"/>
        </w:rPr>
        <w:t>, 76(4), 447–470.</w:t>
      </w:r>
    </w:p>
    <w:p>
      <w:pPr>
        <w:pStyle w:val="Normal"/>
        <w:spacing w:lineRule="exact" w:line="312" w:before="0" w:after="120"/>
        <w:jc w:val="both"/>
        <w:rPr/>
      </w:pPr>
      <w:r>
        <w:rPr>
          <w:rFonts w:eastAsia="Times New Roman" w:cs="Times New Roman"/>
          <w:sz w:val="24"/>
          <w:szCs w:val="24"/>
        </w:rPr>
        <w:t xml:space="preserve">Mendelson, E. (2015). </w:t>
      </w:r>
      <w:r>
        <w:rPr>
          <w:rFonts w:eastAsia="Times New Roman" w:cs="Times New Roman"/>
          <w:i/>
          <w:iCs/>
          <w:sz w:val="24"/>
          <w:szCs w:val="24"/>
        </w:rPr>
        <w:t>Introduction to Mathematical Logic</w:t>
      </w:r>
      <w:r>
        <w:rPr>
          <w:rFonts w:eastAsia="Times New Roman" w:cs="Times New Roman"/>
          <w:sz w:val="24"/>
          <w:szCs w:val="24"/>
        </w:rPr>
        <w:t xml:space="preserve"> (6th ed.). Chapman and Hall/CRC.</w:t>
      </w:r>
    </w:p>
    <w:p>
      <w:pPr>
        <w:pStyle w:val="Normal"/>
        <w:spacing w:lineRule="exact" w:line="312" w:before="0" w:after="120"/>
        <w:jc w:val="both"/>
        <w:rPr/>
      </w:pPr>
      <w:r>
        <w:rPr>
          <w:rFonts w:eastAsia="Times New Roman" w:cs="Times New Roman"/>
          <w:sz w:val="24"/>
          <w:szCs w:val="24"/>
        </w:rPr>
        <w:t xml:space="preserve">Nelson, E. (1977). Internal set theory: A new approach to nonstandard analysis. </w:t>
      </w:r>
      <w:r>
        <w:rPr>
          <w:rFonts w:eastAsia="Times New Roman" w:cs="Times New Roman"/>
          <w:i/>
          <w:iCs/>
          <w:sz w:val="24"/>
          <w:szCs w:val="24"/>
        </w:rPr>
        <w:t>Bulletin of the American Mathematical Society</w:t>
      </w:r>
      <w:r>
        <w:rPr>
          <w:rFonts w:eastAsia="Times New Roman" w:cs="Times New Roman"/>
          <w:sz w:val="24"/>
          <w:szCs w:val="24"/>
        </w:rPr>
        <w:t>, 83(6), 1165–1198.</w:t>
      </w:r>
    </w:p>
    <w:p>
      <w:pPr>
        <w:pStyle w:val="Normal"/>
        <w:spacing w:lineRule="exact" w:line="312" w:before="0" w:after="120"/>
        <w:jc w:val="both"/>
        <w:rPr/>
      </w:pPr>
      <w:r>
        <w:rPr>
          <w:rFonts w:eastAsia="Times New Roman" w:cs="Times New Roman"/>
          <w:sz w:val="24"/>
          <w:szCs w:val="24"/>
        </w:rPr>
        <w:t xml:space="preserve">Ockham, William of. (c. 1323). </w:t>
      </w:r>
      <w:r>
        <w:rPr>
          <w:rFonts w:eastAsia="Times New Roman" w:cs="Times New Roman"/>
          <w:i/>
          <w:iCs/>
          <w:sz w:val="24"/>
          <w:szCs w:val="24"/>
        </w:rPr>
        <w:t>Summa Logicae</w:t>
      </w:r>
      <w:r>
        <w:rPr>
          <w:rFonts w:eastAsia="Times New Roman" w:cs="Times New Roman"/>
          <w:sz w:val="24"/>
          <w:szCs w:val="24"/>
        </w:rPr>
        <w:t>.</w:t>
      </w:r>
    </w:p>
    <w:p>
      <w:pPr>
        <w:pStyle w:val="Normal"/>
        <w:spacing w:lineRule="exact" w:line="312" w:before="0" w:after="120"/>
        <w:jc w:val="both"/>
        <w:rPr/>
      </w:pPr>
      <w:r>
        <w:rPr>
          <w:rFonts w:eastAsia="Times New Roman" w:cs="Times New Roman"/>
          <w:sz w:val="24"/>
          <w:szCs w:val="24"/>
        </w:rPr>
        <w:t xml:space="preserve">Popper, K. (1972). </w:t>
      </w:r>
      <w:r>
        <w:rPr>
          <w:rFonts w:eastAsia="Times New Roman" w:cs="Times New Roman"/>
          <w:i/>
          <w:iCs/>
          <w:sz w:val="24"/>
          <w:szCs w:val="24"/>
        </w:rPr>
        <w:t>Objective Knowledge: An Evolutionary Approach</w:t>
      </w:r>
      <w:r>
        <w:rPr>
          <w:rFonts w:eastAsia="Times New Roman" w:cs="Times New Roman"/>
          <w:sz w:val="24"/>
          <w:szCs w:val="24"/>
        </w:rPr>
        <w:t>. Oxford University Press.</w:t>
      </w:r>
    </w:p>
    <w:p>
      <w:pPr>
        <w:pStyle w:val="Normal"/>
        <w:spacing w:lineRule="exact" w:line="312" w:before="0" w:after="120"/>
        <w:jc w:val="both"/>
        <w:rPr/>
      </w:pPr>
      <w:r>
        <w:rPr>
          <w:rFonts w:eastAsia="Times New Roman" w:cs="Times New Roman"/>
          <w:sz w:val="24"/>
          <w:szCs w:val="24"/>
        </w:rPr>
        <w:t xml:space="preserve">Quine, W. V. O. (1951). Two dogmas of empiricism. </w:t>
      </w:r>
      <w:r>
        <w:rPr>
          <w:rFonts w:eastAsia="Times New Roman" w:cs="Times New Roman"/>
          <w:i/>
          <w:iCs/>
          <w:sz w:val="24"/>
          <w:szCs w:val="24"/>
        </w:rPr>
        <w:t>The Philosophical Review</w:t>
      </w:r>
      <w:r>
        <w:rPr>
          <w:rFonts w:eastAsia="Times New Roman" w:cs="Times New Roman"/>
          <w:sz w:val="24"/>
          <w:szCs w:val="24"/>
        </w:rPr>
        <w:t>, 60(1), 20–43.</w:t>
      </w:r>
    </w:p>
    <w:p>
      <w:pPr>
        <w:pStyle w:val="Normal"/>
        <w:spacing w:lineRule="exact" w:line="312" w:before="0" w:after="120"/>
        <w:jc w:val="both"/>
        <w:rPr/>
      </w:pPr>
      <w:r>
        <w:rPr>
          <w:rFonts w:eastAsia="Times New Roman" w:cs="Times New Roman"/>
          <w:sz w:val="24"/>
          <w:szCs w:val="24"/>
        </w:rPr>
        <w:t xml:space="preserve">Reznik, V. (2026). </w:t>
      </w:r>
      <w:r>
        <w:rPr>
          <w:rFonts w:eastAsia="Times New Roman" w:cs="Times New Roman"/>
          <w:i/>
          <w:iCs/>
          <w:sz w:val="24"/>
          <w:szCs w:val="24"/>
        </w:rPr>
        <w:t>VR. A Formal System: A Minimalist Axiomatization of Arithmetic Grounded in Leibnizian Void</w:t>
      </w:r>
      <w:r>
        <w:rPr>
          <w:rFonts w:eastAsia="Times New Roman" w:cs="Times New Roman"/>
          <w:sz w:val="24"/>
          <w:szCs w:val="24"/>
        </w:rPr>
        <w:t>. Zenodo. DOI: 10.5281/zenodo.20212092</w:t>
      </w:r>
    </w:p>
    <w:p>
      <w:pPr>
        <w:pStyle w:val="Normal"/>
        <w:spacing w:lineRule="exact" w:line="312" w:before="0" w:after="120"/>
        <w:jc w:val="both"/>
        <w:rPr/>
      </w:pPr>
      <w:r>
        <w:rPr>
          <w:rFonts w:eastAsia="Times New Roman" w:cs="Times New Roman"/>
          <w:sz w:val="24"/>
          <w:szCs w:val="24"/>
        </w:rPr>
        <w:t xml:space="preserve">Reznik, V. (2026). </w:t>
      </w:r>
      <w:r>
        <w:rPr>
          <w:rFonts w:eastAsia="Times New Roman" w:cs="Times New Roman"/>
          <w:i/>
          <w:iCs/>
          <w:sz w:val="24"/>
          <w:szCs w:val="24"/>
        </w:rPr>
        <w:t>VR-Numbers: Operational Extensions over the Natural Numbers of VR</w:t>
      </w:r>
      <w:r>
        <w:rPr>
          <w:rFonts w:eastAsia="Times New Roman" w:cs="Times New Roman"/>
          <w:sz w:val="24"/>
          <w:szCs w:val="24"/>
        </w:rPr>
        <w:t>. Zenodo. DOI: 10.5281/zenodo.20272743</w:t>
      </w:r>
    </w:p>
    <w:p>
      <w:pPr>
        <w:pStyle w:val="Normal"/>
        <w:spacing w:lineRule="exact" w:line="312" w:before="0" w:after="120"/>
        <w:jc w:val="both"/>
        <w:rPr/>
      </w:pPr>
      <w:r>
        <w:rPr>
          <w:rFonts w:eastAsia="Times New Roman" w:cs="Times New Roman"/>
          <w:sz w:val="24"/>
          <w:szCs w:val="24"/>
        </w:rPr>
        <w:t xml:space="preserve">Reznik, V. (2026). </w:t>
      </w:r>
      <w:r>
        <w:rPr>
          <w:rFonts w:eastAsia="Times New Roman" w:cs="Times New Roman"/>
          <w:i/>
          <w:iCs/>
          <w:sz w:val="24"/>
          <w:szCs w:val="24"/>
        </w:rPr>
        <w:t>VR-Sets: An Operational Theory of Sets Grounded in Leibnizian Void</w:t>
      </w:r>
      <w:r>
        <w:rPr>
          <w:rFonts w:eastAsia="Times New Roman" w:cs="Times New Roman"/>
          <w:sz w:val="24"/>
          <w:szCs w:val="24"/>
        </w:rPr>
        <w:t>. Zenodo. DOI: 10.5281/zenodo.20303536</w:t>
      </w:r>
    </w:p>
    <w:p>
      <w:pPr>
        <w:pStyle w:val="Normal"/>
        <w:spacing w:lineRule="exact" w:line="312" w:before="0" w:after="120"/>
        <w:jc w:val="both"/>
        <w:rPr/>
      </w:pPr>
      <w:r>
        <w:rPr>
          <w:rFonts w:eastAsia="Times New Roman" w:cs="Times New Roman"/>
          <w:sz w:val="24"/>
          <w:szCs w:val="24"/>
        </w:rPr>
        <w:t xml:space="preserve">Robinson, A. (1966). </w:t>
      </w:r>
      <w:r>
        <w:rPr>
          <w:rFonts w:eastAsia="Times New Roman" w:cs="Times New Roman"/>
          <w:i/>
          <w:iCs/>
          <w:sz w:val="24"/>
          <w:szCs w:val="24"/>
        </w:rPr>
        <w:t>Non-standard Analysis</w:t>
      </w:r>
      <w:r>
        <w:rPr>
          <w:rFonts w:eastAsia="Times New Roman" w:cs="Times New Roman"/>
          <w:sz w:val="24"/>
          <w:szCs w:val="24"/>
        </w:rPr>
        <w:t>. North-Holland.</w:t>
      </w:r>
    </w:p>
    <w:p>
      <w:pPr>
        <w:pStyle w:val="Normal"/>
        <w:spacing w:lineRule="exact" w:line="312" w:before="0" w:after="120"/>
        <w:jc w:val="both"/>
        <w:rPr/>
      </w:pPr>
      <w:r>
        <w:rPr>
          <w:rFonts w:eastAsia="Times New Roman" w:cs="Times New Roman"/>
          <w:sz w:val="24"/>
          <w:szCs w:val="24"/>
        </w:rPr>
        <w:t xml:space="preserve">Russell, B. (1903). </w:t>
      </w:r>
      <w:r>
        <w:rPr>
          <w:rFonts w:eastAsia="Times New Roman" w:cs="Times New Roman"/>
          <w:i/>
          <w:iCs/>
          <w:sz w:val="24"/>
          <w:szCs w:val="24"/>
        </w:rPr>
        <w:t>The Principles of Mathematics</w:t>
      </w:r>
      <w:r>
        <w:rPr>
          <w:rFonts w:eastAsia="Times New Roman" w:cs="Times New Roman"/>
          <w:sz w:val="24"/>
          <w:szCs w:val="24"/>
        </w:rPr>
        <w:t>. Cambridge University Press.</w:t>
      </w:r>
    </w:p>
    <w:p>
      <w:pPr>
        <w:pStyle w:val="Normal"/>
        <w:spacing w:lineRule="exact" w:line="312" w:before="0" w:after="120"/>
        <w:jc w:val="both"/>
        <w:rPr/>
      </w:pPr>
      <w:r>
        <w:rPr>
          <w:rFonts w:eastAsia="Times New Roman" w:cs="Times New Roman"/>
          <w:sz w:val="24"/>
          <w:szCs w:val="24"/>
        </w:rPr>
        <w:t xml:space="preserve">Shapiro, S. (1997). </w:t>
      </w:r>
      <w:r>
        <w:rPr>
          <w:rFonts w:eastAsia="Times New Roman" w:cs="Times New Roman"/>
          <w:i/>
          <w:iCs/>
          <w:sz w:val="24"/>
          <w:szCs w:val="24"/>
        </w:rPr>
        <w:t>Philosophy of Mathematics: Structure and Ontology</w:t>
      </w:r>
      <w:r>
        <w:rPr>
          <w:rFonts w:eastAsia="Times New Roman" w:cs="Times New Roman"/>
          <w:sz w:val="24"/>
          <w:szCs w:val="24"/>
        </w:rPr>
        <w:t>. Oxford University Press.</w:t>
      </w:r>
    </w:p>
    <w:p>
      <w:pPr>
        <w:pStyle w:val="Normal"/>
        <w:spacing w:lineRule="exact" w:line="312" w:before="0" w:after="120"/>
        <w:jc w:val="both"/>
        <w:rPr/>
      </w:pPr>
      <w:r>
        <w:rPr>
          <w:rFonts w:eastAsia="Times New Roman" w:cs="Times New Roman"/>
          <w:sz w:val="24"/>
          <w:szCs w:val="24"/>
        </w:rPr>
        <w:t xml:space="preserve">Simpson, S. G. (2009). </w:t>
      </w:r>
      <w:r>
        <w:rPr>
          <w:rFonts w:eastAsia="Times New Roman" w:cs="Times New Roman"/>
          <w:i/>
          <w:iCs/>
          <w:sz w:val="24"/>
          <w:szCs w:val="24"/>
        </w:rPr>
        <w:t>Subsystems of Second Order Arithmetic</w:t>
      </w:r>
      <w:r>
        <w:rPr>
          <w:rFonts w:eastAsia="Times New Roman" w:cs="Times New Roman"/>
          <w:sz w:val="24"/>
          <w:szCs w:val="24"/>
        </w:rPr>
        <w:t xml:space="preserve"> (2nd ed.). Cambridge University Press.</w:t>
      </w:r>
    </w:p>
    <w:p>
      <w:pPr>
        <w:pStyle w:val="Normal"/>
        <w:spacing w:lineRule="exact" w:line="312" w:before="0" w:after="120"/>
        <w:jc w:val="both"/>
        <w:rPr/>
      </w:pPr>
      <w:r>
        <w:rPr>
          <w:rFonts w:eastAsia="Times New Roman" w:cs="Times New Roman"/>
          <w:sz w:val="24"/>
          <w:szCs w:val="24"/>
        </w:rPr>
        <w:t xml:space="preserve">Skolem, T. (1923). Einige Bemerkungen zur axiomatischen Begründung der Mengenlehre. </w:t>
      </w:r>
      <w:r>
        <w:rPr>
          <w:rFonts w:eastAsia="Times New Roman" w:cs="Times New Roman"/>
          <w:i/>
          <w:iCs/>
          <w:sz w:val="24"/>
          <w:szCs w:val="24"/>
        </w:rPr>
        <w:t>Matematikerkongressen i Helsingfors</w:t>
      </w:r>
      <w:r>
        <w:rPr>
          <w:rFonts w:eastAsia="Times New Roman" w:cs="Times New Roman"/>
          <w:sz w:val="24"/>
          <w:szCs w:val="24"/>
        </w:rPr>
        <w:t>, 217–232.</w:t>
      </w:r>
    </w:p>
    <w:p>
      <w:pPr>
        <w:pStyle w:val="Normal"/>
        <w:spacing w:lineRule="exact" w:line="312" w:before="0" w:after="120"/>
        <w:jc w:val="both"/>
        <w:rPr/>
      </w:pPr>
      <w:r>
        <w:rPr>
          <w:rFonts w:eastAsia="Times New Roman" w:cs="Times New Roman"/>
          <w:sz w:val="24"/>
          <w:szCs w:val="24"/>
        </w:rPr>
        <w:t xml:space="preserve">Tarski, A. (1933). Pojęcie prawdy w językach nauk dedukcyjnych. </w:t>
      </w:r>
      <w:r>
        <w:rPr>
          <w:rFonts w:eastAsia="Times New Roman" w:cs="Times New Roman"/>
          <w:i/>
          <w:iCs/>
          <w:sz w:val="24"/>
          <w:szCs w:val="24"/>
        </w:rPr>
        <w:t>Prace Towarzystwa Naukowego Warszawskiego</w:t>
      </w:r>
      <w:r>
        <w:rPr>
          <w:rFonts w:eastAsia="Times New Roman" w:cs="Times New Roman"/>
          <w:sz w:val="24"/>
          <w:szCs w:val="24"/>
        </w:rPr>
        <w:t>, No. 34.</w:t>
      </w:r>
    </w:p>
    <w:p>
      <w:pPr>
        <w:pStyle w:val="Normal"/>
        <w:spacing w:lineRule="exact" w:line="312" w:before="0" w:after="120"/>
        <w:jc w:val="both"/>
        <w:rPr/>
      </w:pPr>
      <w:r>
        <w:rPr>
          <w:rFonts w:eastAsia="Times New Roman" w:cs="Times New Roman"/>
          <w:sz w:val="24"/>
          <w:szCs w:val="24"/>
        </w:rPr>
        <w:t xml:space="preserve">Univalent Foundations Program. (2013). </w:t>
      </w:r>
      <w:r>
        <w:rPr>
          <w:rFonts w:eastAsia="Times New Roman" w:cs="Times New Roman"/>
          <w:i/>
          <w:iCs/>
          <w:sz w:val="24"/>
          <w:szCs w:val="24"/>
        </w:rPr>
        <w:t>Homotopy Type Theory: Univalent Foundations of Mathematics</w:t>
      </w:r>
      <w:r>
        <w:rPr>
          <w:rFonts w:eastAsia="Times New Roman" w:cs="Times New Roman"/>
          <w:sz w:val="24"/>
          <w:szCs w:val="24"/>
        </w:rPr>
        <w:t>. Institute for Advanced Study.</w:t>
      </w:r>
    </w:p>
    <w:p>
      <w:pPr>
        <w:pStyle w:val="Normal"/>
        <w:spacing w:lineRule="exact" w:line="312" w:before="0" w:after="120"/>
        <w:jc w:val="both"/>
        <w:rPr/>
      </w:pPr>
      <w:r>
        <w:rPr>
          <w:rFonts w:eastAsia="Times New Roman" w:cs="Times New Roman"/>
          <w:sz w:val="24"/>
          <w:szCs w:val="24"/>
        </w:rPr>
        <w:t xml:space="preserve">Weihrauch, K. (2000). </w:t>
      </w:r>
      <w:r>
        <w:rPr>
          <w:rFonts w:eastAsia="Times New Roman" w:cs="Times New Roman"/>
          <w:i/>
          <w:iCs/>
          <w:sz w:val="24"/>
          <w:szCs w:val="24"/>
        </w:rPr>
        <w:t>Computable Analysis: An Introduction</w:t>
      </w:r>
      <w:r>
        <w:rPr>
          <w:rFonts w:eastAsia="Times New Roman" w:cs="Times New Roman"/>
          <w:sz w:val="24"/>
          <w:szCs w:val="24"/>
        </w:rPr>
        <w:t>. Springer-Verlag.</w:t>
      </w:r>
    </w:p>
    <w:p>
      <w:pPr>
        <w:pStyle w:val="Normal"/>
        <w:spacing w:lineRule="exact" w:line="312" w:before="0" w:after="120"/>
        <w:jc w:val="both"/>
        <w:rPr/>
      </w:pPr>
      <w:r>
        <w:rPr>
          <w:rFonts w:eastAsia="Times New Roman" w:cs="Times New Roman"/>
          <w:sz w:val="24"/>
          <w:szCs w:val="24"/>
        </w:rPr>
        <w:t xml:space="preserve">Whitehead, A. N. (1929). </w:t>
      </w:r>
      <w:r>
        <w:rPr>
          <w:rFonts w:eastAsia="Times New Roman" w:cs="Times New Roman"/>
          <w:i/>
          <w:iCs/>
          <w:sz w:val="24"/>
          <w:szCs w:val="24"/>
        </w:rPr>
        <w:t>Process and Reality</w:t>
      </w:r>
      <w:r>
        <w:rPr>
          <w:rFonts w:eastAsia="Times New Roman" w:cs="Times New Roman"/>
          <w:sz w:val="24"/>
          <w:szCs w:val="24"/>
        </w:rPr>
        <w:t>. Macmillan.</w:t>
      </w:r>
    </w:p>
    <w:p>
      <w:pPr>
        <w:pStyle w:val="Normal"/>
        <w:spacing w:lineRule="exact" w:line="312" w:before="0" w:after="120"/>
        <w:jc w:val="both"/>
        <w:rPr/>
      </w:pPr>
      <w:r>
        <w:rPr>
          <w:rFonts w:eastAsia="Times New Roman" w:cs="Times New Roman"/>
          <w:sz w:val="24"/>
          <w:szCs w:val="24"/>
        </w:rPr>
        <w:t xml:space="preserve">Wittgenstein, L. (1953). </w:t>
      </w:r>
      <w:r>
        <w:rPr>
          <w:rFonts w:eastAsia="Times New Roman" w:cs="Times New Roman"/>
          <w:i/>
          <w:iCs/>
          <w:sz w:val="24"/>
          <w:szCs w:val="24"/>
        </w:rPr>
        <w:t>Philosophical Investigations</w:t>
      </w:r>
      <w:r>
        <w:rPr>
          <w:rFonts w:eastAsia="Times New Roman" w:cs="Times New Roman"/>
          <w:sz w:val="24"/>
          <w:szCs w:val="24"/>
        </w:rPr>
        <w:t>. Macmillan.</w:t>
      </w:r>
    </w:p>
    <w:p>
      <w:pPr>
        <w:pStyle w:val="Normal"/>
        <w:spacing w:lineRule="exact" w:line="312" w:before="0" w:after="120"/>
        <w:jc w:val="both"/>
        <w:rPr/>
      </w:pPr>
      <w:r>
        <w:rPr>
          <w:rFonts w:eastAsia="Times New Roman" w:cs="Times New Roman"/>
          <w:sz w:val="24"/>
          <w:szCs w:val="24"/>
        </w:rPr>
        <w:t xml:space="preserve">Zermelo, E. (1908). Untersuchungen über die Grundlagen der Mengenlehre. </w:t>
      </w:r>
      <w:r>
        <w:rPr>
          <w:rFonts w:eastAsia="Times New Roman" w:cs="Times New Roman"/>
          <w:i/>
          <w:iCs/>
          <w:sz w:val="24"/>
          <w:szCs w:val="24"/>
        </w:rPr>
        <w:t>Mathematische Annalen</w:t>
      </w:r>
      <w:r>
        <w:rPr>
          <w:rFonts w:eastAsia="Times New Roman" w:cs="Times New Roman"/>
          <w:sz w:val="24"/>
          <w:szCs w:val="24"/>
        </w:rPr>
        <w:t>, 65(2), 261–281.</w:t>
      </w:r>
    </w:p>
    <w:p>
      <w:pPr>
        <w:pStyle w:val="Heading1"/>
        <w:spacing w:before="360" w:after="200"/>
        <w:jc w:val="left"/>
        <w:rPr/>
      </w:pPr>
      <w:r>
        <w:rPr>
          <w:rFonts w:eastAsia="Times New Roman" w:cs="Times New Roman" w:ascii="Times New Roman" w:hAnsi="Times New Roman"/>
          <w:b/>
          <w:bCs/>
          <w:sz w:val="32"/>
          <w:szCs w:val="32"/>
        </w:rPr>
        <w:t>Acknowledgement of AI assistance</w:t>
      </w:r>
    </w:p>
    <w:p>
      <w:pPr>
        <w:pStyle w:val="Normal"/>
        <w:spacing w:lineRule="exact" w:line="312" w:before="0" w:after="120"/>
        <w:jc w:val="both"/>
        <w:rPr/>
      </w:pPr>
      <w:r>
        <w:rPr>
          <w:rFonts w:eastAsia="Times New Roman" w:cs="Times New Roman"/>
          <w:i/>
          <w:iCs/>
          <w:sz w:val="24"/>
          <w:szCs w:val="24"/>
        </w:rPr>
        <w:t>The formal exposition of this preprint was prepared with the assistance of Claude (Anthropic, model Opus 4.7) for drafting, English translation, language polishing, and consistency checking. All mathematical content, definitions, theorems, and ontological positions are due to the author.</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Courier New">
    <w:charset w:val="01"/>
    <w:family w:val="roman"/>
    <w:pitch w:val="variable"/>
  </w:font>
</w:fonts>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360" w:after="200"/>
      <w:outlineLvl w:val="0"/>
    </w:pPr>
    <w:rPr>
      <w:rFonts w:ascii="Times New Roman" w:hAnsi="Times New Roman" w:eastAsia="Times New Roman" w:cs="Times New Roman"/>
      <w:b/>
      <w:bCs/>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spacing w:before="220" w:after="120"/>
      <w:outlineLvl w:val="2"/>
    </w:pPr>
    <w:rPr>
      <w:rFonts w:ascii="Times New Roman" w:hAnsi="Times New Roman" w:eastAsia="Times New Roman" w:cs="Times New Roman"/>
      <w:b/>
      <w:bCs/>
      <w:sz w:val="25"/>
      <w:szCs w:val="25"/>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7</Pages>
  <Words>2851</Words>
  <Characters>15339</Characters>
  <CharactersWithSpaces>18116</CharactersWithSpaces>
  <Paragraphs>100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2026-05-19T10:08:10Z</dcterms:created>
  <dc:creator>Vitaly Reznik</dc:creator>
  <dc:description>Foundations</dc:description>
  <dc:language>en-US</dc:language>
  <cp:lastModifiedBy/>
  <dcterms:modified xsi:type="dcterms:W3CDTF">2026-05-19T23:14:32Z</dcterms:modified>
  <cp:revision>2</cp:revision>
  <dc:subject/>
  <dc:title>VR-Sets Part I (EN)</dc:title>
</cp:coreProperties>
</file>