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>VR-Forms. Препринт.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Часть VIII. Открытые вопросы и место VR-Forms в цикле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Виталий Резник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4"/>
          <w:szCs w:val="24"/>
        </w:rPr>
        <w:t>2026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VIII.0. Введение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Заключительная часть препринта подводит итог VR-Forms и фиксирует открытые направления. Структура — параллель Части IX VR-Sets: технические вопросы, содержательные расширения, философские открытые направления, общее заключение.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Часть VIII закрывает работу. Все формальные результаты собраны в Частях II–IV; применения — в Частях V–VI; логические свойства — в Части VII. Здесь — фиксация того, что осталось открытым, и того, что планируется как следующая работа цикла (VR-Audit).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VIII.1. Технические открытые вопросы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Вопрос 1: формализация в Lean/Coq/Agda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Машинная формализация VR-Forms — естественный технический шаг. Двухрегистровая структура хорошо ложится на dependent types: онтологический регистр — обычные типы со значениями, формальный регистр — синтаксические объекты с интерпретирующим отображением. Lean 4 представляется наиболее подходящим: его математическая библиотека (mathlib) уже содержит средства для работы с консервативными расширениями, переводами, двухсортной логикой.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Конкретные задачи формализации: (а) формальная проверка Теоремы III.1 о консервативности; (б) формализация транзитного правила (§IV.2); (в) машинная проверка примеров (§IV.5, Части V–VI).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Вопрос 2: точная сила перевода π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Отображение π из §III.2 переводит формальные термы в определяющие предикаты. На простых формальных термах вида ⌜{x : φ(x)}⌝ перевод тривиален. Для более сложных конструкций (квантификация по формальным термам, итерация формальных термов, рекурсивные определения через формальные термы) перевод требует более тщательного определения.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Открытый вопрос: каков точный диапазон формальных конструкций, для которых π даёт обратимый перевод? Существуют ли формальные термы, для которых π даёт неоднозначный результат? Эти вопросы важны для строгого варианта формализации в Lean.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Вопрос 3: композиция транзитов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Если есть транзит D₁, дающий онтологическое утверждение φ, и транзит D₂, использующий φ как лемму на пути к утверждению ψ — есть ли единый транзит для ψ, или нужна композиция отдельных транзитов?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Это вопрос практической работы с VR-Forms: насколько естественно цепочки лемм организуются в один большой транзит, и не возникают ли при композиции проблемы с консервативностью.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Предполагается, что композиция транзитов безопасна (по транзитивности консервативности), но строгое доказательство и обзор практических случаев остаются открытыми.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Вопрос 4: альтернативные логики формального регистра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§VII.1 был сделан выбор в пользу классической логики в формальном регистре. Открытый вопрос: какие свойства VR-Forms сохраняются, а какие меняются, при замене классической логики на: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(а) интуиционистскую логику — содержательно: формальный регистр становится конструктивным; парадоксальные формальные термы получают иной статус;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(б) паранепротиворечивую логику — содержательно: противоречия в формальных термах могут трактоваться явно, без угрозы общему противоречию;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(в) модальную логику — содержательно: формальные термы могут различаться по «модусу» (необходимое/возможное/контрфактическое).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Каждая из этих альтернатив — отдельная работа.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VIII.2. Содержательные расширения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Расширение 1: VR-Audit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Прямое и основное продолжение VR-Forms — программа VR-Audit. Содержание: систематический анализ классических математических теорем с целью установить, какие из них прямо транзитируются в VR-Sets, какие требуют операционального труда для извлечения содержания (проблематичные транзиты), и какие существенно неонтологичны.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VR-Forms даёт для VR-Audit аппарат. VR-Audit использует этот аппарат на конкретных теоремах. Список первых кандидатов: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спектральная теорема в её различных формулировках (дискретный и непрерывный спектр);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теорема Хана–Банаха в общей форме;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теорема Бэра о категориях;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теорема Тихонова о компактности;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теорема Радона–Никодима о мерах;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— теоремы из квантовой механики (Стоуна, фон Неймана, Наймарка).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Каждая такая теорема может быть проанализирована: используется ли несчётное по существу, или только как удобство.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Расширение 2: связь с reverse mathematics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Программа Reverse Mathematics (Friedman, Simpson) классифицирует классические теоремы по силе аксиом, необходимых для их доказательства. Иерархия подсистем арифметики второго порядка (RCA₀, WKL₀, ACA₀, ATR₀, Π¹₁-CA₀) даёт точную меру «несчётной силы» каждой теоремы.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VR-Forms и VR-Audit могут связаться с этой программой через перевод π. Каждая система иерархии Reverse Mathematics соответствует определённому классу формальных термов в VR-Forms; теоремы, доказуемые в RCA₀, прямо транзитируются в VR-Sets; теоремы, требующие более сильных подсистем, дают проблематичные транзиты, и характер проблематичности зависит от подсистемы.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Установление точного соответствия — отдельная задача, объединяющая VR-Forms с уже большой литературой по Reverse Mathematics.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Расширение 3: связь с топосами и теорией категорий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Категориальная теория множеств (Lawvere ETCS, Macnamara SDG, элементарные топосы) даёт альтернативный взгляд на основания математики через универсальные свойства. VR-Sets близка к ним в духе (см. VR-Sets §IX.2). VR-Forms добавляет возможность говорить о неоперациональных категориальных конструкциях как о формальных термах: ⌜топос всех функторов⌝, ⌜абсолютно полная категория⌝, и т. п.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Открытое направление: построение VR-категориального аппарата, где операциональные категории (счётные, со счётной структурой) — операциональны, а более крупные — формальны.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Расширение 4: гомотопическая теория типов (HoTT)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HoTT равенство — не отношение, а тип (путь). VR-Forms может быть переинтерпретирована в духе HoTT: ≡ как путь в типе операциональных множеств, формальные термы как высшие типы со специальным интерпретирующим переводом. Это направление сложное технически, но содержательно близкое.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Расширение 5: операциональные основания физики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VR-Sets §IX.3 поднимался вопрос о применимости операциональной онтологии к квантовой механике. VR-Forms даёт более полный аппарат для этого направления.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Гипотеза: квантовая механика операциональных систем (с дискретным спектром гамильтониана) формулируется полностью в VR-Sets; квантовая механика непрерывных систем требует формального регистра для своих несчётных конструкций (классическое гильбертово пространство, спектральная мера, проекционно-значная мера). При этом физически наблюдаемые результаты — измеримые величины — должны транзитироваться обратно в операциональное.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Проверка этой гипотезы на конкретных физических примерах — задача, ведущая к возможной будущей работе VR-Physics.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VIII.3. Философские открытые вопросы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Вопрос 1: статус формального терма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Части I §I.4 фиксировано: формальный терм есть просто формула, без онтологического статуса. Эта позиция последовательна, но философски жёсткая. Открытый вопрос: можно ли найти промежуточный статус формальных термов — например, «существующие в смысле использования», «существующие как лингвистические объекты», «существующие в платоновском третьем мире (Поппер)»?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Настоящая работа отказалась от таких промежуточных позиций ради ясности. Альтернативы остаются открытыми для исследования.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Вопрос 2: место VR-Forms среди оснований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VR-Forms позиционирует себя как минималистскую операциональную онтологию с формальным расширением. Близкие позиции: предикативизм Фефермана (FOM сообщество), счётный конструктивизм Бишопа, операционализм Бриджмена. VR-Forms отличается от каждого, но точное место в этой карте требует отдельного философского исследования.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Вопрос 3: следующая работа цикла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VR-Forms — четвёртая работа цикла. Открытые кандидаты на пятую: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(а) </w:t>
      </w:r>
      <w:r>
        <w:rPr>
          <w:rFonts w:eastAsia="Times New Roman" w:cs="Times New Roman"/>
          <w:b/>
          <w:bCs/>
          <w:sz w:val="24"/>
          <w:szCs w:val="24"/>
        </w:rPr>
        <w:t>VR-Audit</w:t>
      </w:r>
      <w:r>
        <w:rPr>
          <w:rFonts w:eastAsia="Times New Roman" w:cs="Times New Roman"/>
          <w:sz w:val="24"/>
          <w:szCs w:val="24"/>
        </w:rPr>
        <w:t xml:space="preserve"> — систематический анализ классической математики через линзу VR-Forms;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(б) </w:t>
      </w:r>
      <w:r>
        <w:rPr>
          <w:rFonts w:eastAsia="Times New Roman" w:cs="Times New Roman"/>
          <w:b/>
          <w:bCs/>
          <w:sz w:val="24"/>
          <w:szCs w:val="24"/>
        </w:rPr>
        <w:t>VR-Categories</w:t>
      </w:r>
      <w:r>
        <w:rPr>
          <w:rFonts w:eastAsia="Times New Roman" w:cs="Times New Roman"/>
          <w:sz w:val="24"/>
          <w:szCs w:val="24"/>
        </w:rPr>
        <w:t xml:space="preserve"> — категориальная переформулировка VR-Sets и VR-Forms;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(в) </w:t>
      </w:r>
      <w:r>
        <w:rPr>
          <w:rFonts w:eastAsia="Times New Roman" w:cs="Times New Roman"/>
          <w:b/>
          <w:bCs/>
          <w:sz w:val="24"/>
          <w:szCs w:val="24"/>
        </w:rPr>
        <w:t>VR-Physics</w:t>
      </w:r>
      <w:r>
        <w:rPr>
          <w:rFonts w:eastAsia="Times New Roman" w:cs="Times New Roman"/>
          <w:sz w:val="24"/>
          <w:szCs w:val="24"/>
        </w:rPr>
        <w:t xml:space="preserve"> — операциональная переформулировка оснований физики;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(г) </w:t>
      </w:r>
      <w:r>
        <w:rPr>
          <w:rFonts w:eastAsia="Times New Roman" w:cs="Times New Roman"/>
          <w:b/>
          <w:bCs/>
          <w:sz w:val="24"/>
          <w:szCs w:val="24"/>
        </w:rPr>
        <w:t>VR-Logic</w:t>
      </w:r>
      <w:r>
        <w:rPr>
          <w:rFonts w:eastAsia="Times New Roman" w:cs="Times New Roman"/>
          <w:sz w:val="24"/>
          <w:szCs w:val="24"/>
        </w:rPr>
        <w:t xml:space="preserve"> — детальная разработка двойственности A1 в самостоятельную операциональную логику.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Естественный выбор — VR-Audit, как непосредственное применение аппарата VR-Forms. VR-Categories и VR-Physics предполагают более длительные программы. VR-Logic — параллельная ветвь, развиваемая независимо.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VIII.4. Заключение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Завершение цикла VR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Цикл VR в нынешней форме — четыре работы: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(1) </w:t>
      </w:r>
      <w:r>
        <w:rPr>
          <w:rFonts w:eastAsia="Times New Roman" w:cs="Times New Roman"/>
          <w:b/>
          <w:bCs/>
          <w:sz w:val="24"/>
          <w:szCs w:val="24"/>
        </w:rPr>
        <w:t>VR. Формальная система</w:t>
      </w:r>
      <w:r>
        <w:rPr>
          <w:rFonts w:eastAsia="Times New Roman" w:cs="Times New Roman"/>
          <w:sz w:val="24"/>
          <w:szCs w:val="24"/>
        </w:rPr>
        <w:t xml:space="preserve"> — арифметика на минимальной онтологии.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(2) </w:t>
      </w:r>
      <w:r>
        <w:rPr>
          <w:rFonts w:eastAsia="Times New Roman" w:cs="Times New Roman"/>
          <w:b/>
          <w:bCs/>
          <w:sz w:val="24"/>
          <w:szCs w:val="24"/>
        </w:rPr>
        <w:t>VR-Numbers</w:t>
      </w:r>
      <w:r>
        <w:rPr>
          <w:rFonts w:eastAsia="Times New Roman" w:cs="Times New Roman"/>
          <w:sz w:val="24"/>
          <w:szCs w:val="24"/>
        </w:rPr>
        <w:t xml:space="preserve"> — числовые расширения над минимальной онтологией.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(3) </w:t>
      </w:r>
      <w:r>
        <w:rPr>
          <w:rFonts w:eastAsia="Times New Roman" w:cs="Times New Roman"/>
          <w:b/>
          <w:bCs/>
          <w:sz w:val="24"/>
          <w:szCs w:val="24"/>
        </w:rPr>
        <w:t>VR-Sets</w:t>
      </w:r>
      <w:r>
        <w:rPr>
          <w:rFonts w:eastAsia="Times New Roman" w:cs="Times New Roman"/>
          <w:sz w:val="24"/>
          <w:szCs w:val="24"/>
        </w:rPr>
        <w:t xml:space="preserve"> — теория множеств; впервые открывает границу операциональной онтологии (счётность универсума).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(4) </w:t>
      </w:r>
      <w:r>
        <w:rPr>
          <w:rFonts w:eastAsia="Times New Roman" w:cs="Times New Roman"/>
          <w:b/>
          <w:bCs/>
          <w:sz w:val="24"/>
          <w:szCs w:val="24"/>
        </w:rPr>
        <w:t>VR-Forms</w:t>
      </w:r>
      <w:r>
        <w:rPr>
          <w:rFonts w:eastAsia="Times New Roman" w:cs="Times New Roman"/>
          <w:sz w:val="24"/>
          <w:szCs w:val="24"/>
        </w:rPr>
        <w:t xml:space="preserve"> — формальный язык для речи о том, что за границей. Завершает онтологический контур: теперь VR может говорить обо всём, имея в онтологии только ∅ и операциональное.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Слоган цикла, проведённый через четыре работы: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i/>
          <w:iCs/>
          <w:sz w:val="24"/>
          <w:szCs w:val="24"/>
        </w:rPr>
        <w:t>«Есть только ∅. Всё остальное либо действует, либо говорится. Действие операционально и относится к ∅; речь формальна и не относится ни к чему по необходимости.»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Что демонстрирует цикл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Цикл VR в своей завершённой форме демонстрирует: </w:t>
      </w:r>
      <w:r>
        <w:rPr>
          <w:rFonts w:eastAsia="Times New Roman" w:cs="Times New Roman"/>
          <w:b/>
          <w:bCs/>
          <w:sz w:val="24"/>
          <w:szCs w:val="24"/>
        </w:rPr>
        <w:t>онтологический минимализм возможен и работоспособен</w:t>
      </w:r>
      <w:r>
        <w:rPr>
          <w:rFonts w:eastAsia="Times New Roman" w:cs="Times New Roman"/>
          <w:sz w:val="24"/>
          <w:szCs w:val="24"/>
        </w:rPr>
        <w:t>. На единственном примитиве ∅ построены арифметика, числовые расширения, теория множеств; для описания неоперационального введён формальный регистр, не нарушающий минимализма. Никаких дополнительных онтологических обязательств не принято; ничего из классической математики и речи в целом не оставлено без места.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Это философская позиция, проведённая через формальный аппарат. Она не претендует на исключительность: классическая ZFC, конструктивизм, формализм, категориальная теория множеств — все они остаются легитимными альтернативами. Но VR-цикл показывает, что минимальная операциональная онтология есть </w:t>
      </w:r>
      <w:r>
        <w:rPr>
          <w:rFonts w:eastAsia="Times New Roman" w:cs="Times New Roman"/>
          <w:b/>
          <w:bCs/>
          <w:sz w:val="24"/>
          <w:szCs w:val="24"/>
        </w:rPr>
        <w:t>содержательная и непротиворечивая опция</w:t>
      </w:r>
      <w:r>
        <w:rPr>
          <w:rFonts w:eastAsia="Times New Roman" w:cs="Times New Roman"/>
          <w:sz w:val="24"/>
          <w:szCs w:val="24"/>
        </w:rPr>
        <w:t>, способная служить основанием для математики и языком для речи в целом.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Что цикл не делает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Цикл не доказывает онтологической реальности ∅ — это онтологическая позиция, не теорема. Цикл не отрицает онтологий, отличных от VR — он лишь чётко свою фиксирует и относительно неё работает. Цикл не претендует на инструментальное превосходство над классическими основаниями — программа VR-Audit как раз и предназначена для систематической проверки, в каких случаях VR даёт что-то сверх известного.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Зрелая роль VR — не альтернатива классическим основаниям, а </w:t>
      </w:r>
      <w:r>
        <w:rPr>
          <w:rFonts w:eastAsia="Times New Roman" w:cs="Times New Roman"/>
          <w:b/>
          <w:bCs/>
          <w:sz w:val="24"/>
          <w:szCs w:val="24"/>
        </w:rPr>
        <w:t>прозрачная и минималистская точка зрения</w:t>
      </w:r>
      <w:r>
        <w:rPr>
          <w:rFonts w:eastAsia="Times New Roman" w:cs="Times New Roman"/>
          <w:sz w:val="24"/>
          <w:szCs w:val="24"/>
        </w:rPr>
        <w:t>, относительно которой классические основания получают ясную классификацию (через VR-Audit). Это методологическая ценность, не математическая революция.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Литература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Aczel, P. (1988). </w:t>
      </w:r>
      <w:r>
        <w:rPr>
          <w:rFonts w:eastAsia="Times New Roman" w:cs="Times New Roman"/>
          <w:i/>
          <w:iCs/>
          <w:sz w:val="24"/>
          <w:szCs w:val="24"/>
        </w:rPr>
        <w:t>Non-Well-Founded Sets</w:t>
      </w:r>
      <w:r>
        <w:rPr>
          <w:rFonts w:eastAsia="Times New Roman" w:cs="Times New Roman"/>
          <w:sz w:val="24"/>
          <w:szCs w:val="24"/>
        </w:rPr>
        <w:t>. CSLI Lecture Notes, No. 14. Stanford.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Bencivenga, E. (2002). Free logics. In D. Gabbay &amp; F. Guenthner (Eds.), </w:t>
      </w:r>
      <w:r>
        <w:rPr>
          <w:rFonts w:eastAsia="Times New Roman" w:cs="Times New Roman"/>
          <w:i/>
          <w:iCs/>
          <w:sz w:val="24"/>
          <w:szCs w:val="24"/>
        </w:rPr>
        <w:t>Handbook of Philosophical Logic</w:t>
      </w:r>
      <w:r>
        <w:rPr>
          <w:rFonts w:eastAsia="Times New Roman" w:cs="Times New Roman"/>
          <w:sz w:val="24"/>
          <w:szCs w:val="24"/>
        </w:rPr>
        <w:t>, Vol. 5 (pp. 147–196). Springer.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Benacerraf, P. (1965). What numbers could not be. </w:t>
      </w:r>
      <w:r>
        <w:rPr>
          <w:rFonts w:eastAsia="Times New Roman" w:cs="Times New Roman"/>
          <w:i/>
          <w:iCs/>
          <w:sz w:val="24"/>
          <w:szCs w:val="24"/>
        </w:rPr>
        <w:t>The Philosophical Review</w:t>
      </w:r>
      <w:r>
        <w:rPr>
          <w:rFonts w:eastAsia="Times New Roman" w:cs="Times New Roman"/>
          <w:sz w:val="24"/>
          <w:szCs w:val="24"/>
        </w:rPr>
        <w:t>, 74(1), 47–73.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Bernays, P. (1937). A system of axiomatic set theory. </w:t>
      </w:r>
      <w:r>
        <w:rPr>
          <w:rFonts w:eastAsia="Times New Roman" w:cs="Times New Roman"/>
          <w:i/>
          <w:iCs/>
          <w:sz w:val="24"/>
          <w:szCs w:val="24"/>
        </w:rPr>
        <w:t>Journal of Symbolic Logic</w:t>
      </w:r>
      <w:r>
        <w:rPr>
          <w:rFonts w:eastAsia="Times New Roman" w:cs="Times New Roman"/>
          <w:sz w:val="24"/>
          <w:szCs w:val="24"/>
        </w:rPr>
        <w:t>, 2(1), 65–77.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Bishop, E. (1967). </w:t>
      </w:r>
      <w:r>
        <w:rPr>
          <w:rFonts w:eastAsia="Times New Roman" w:cs="Times New Roman"/>
          <w:i/>
          <w:iCs/>
          <w:sz w:val="24"/>
          <w:szCs w:val="24"/>
        </w:rPr>
        <w:t>Foundations of Constructive Analysis</w:t>
      </w:r>
      <w:r>
        <w:rPr>
          <w:rFonts w:eastAsia="Times New Roman" w:cs="Times New Roman"/>
          <w:sz w:val="24"/>
          <w:szCs w:val="24"/>
        </w:rPr>
        <w:t>. McGraw-Hill.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Bridges, D., &amp; Richman, F. (1987). </w:t>
      </w:r>
      <w:r>
        <w:rPr>
          <w:rFonts w:eastAsia="Times New Roman" w:cs="Times New Roman"/>
          <w:i/>
          <w:iCs/>
          <w:sz w:val="24"/>
          <w:szCs w:val="24"/>
        </w:rPr>
        <w:t>Varieties of Constructive Mathematics</w:t>
      </w:r>
      <w:r>
        <w:rPr>
          <w:rFonts w:eastAsia="Times New Roman" w:cs="Times New Roman"/>
          <w:sz w:val="24"/>
          <w:szCs w:val="24"/>
        </w:rPr>
        <w:t>. Cambridge University Press.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Brouwer, L. E. J. (1907). </w:t>
      </w:r>
      <w:r>
        <w:rPr>
          <w:rFonts w:eastAsia="Times New Roman" w:cs="Times New Roman"/>
          <w:i/>
          <w:iCs/>
          <w:sz w:val="24"/>
          <w:szCs w:val="24"/>
        </w:rPr>
        <w:t>Over de Grondslagen der Wiskunde</w:t>
      </w:r>
      <w:r>
        <w:rPr>
          <w:rFonts w:eastAsia="Times New Roman" w:cs="Times New Roman"/>
          <w:sz w:val="24"/>
          <w:szCs w:val="24"/>
        </w:rPr>
        <w:t>. Doctoral dissertation, University of Amsterdam.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Feferman, S. (1964). Systems of predicative analysis. </w:t>
      </w:r>
      <w:r>
        <w:rPr>
          <w:rFonts w:eastAsia="Times New Roman" w:cs="Times New Roman"/>
          <w:i/>
          <w:iCs/>
          <w:sz w:val="24"/>
          <w:szCs w:val="24"/>
        </w:rPr>
        <w:t>The Journal of Symbolic Logic</w:t>
      </w:r>
      <w:r>
        <w:rPr>
          <w:rFonts w:eastAsia="Times New Roman" w:cs="Times New Roman"/>
          <w:sz w:val="24"/>
          <w:szCs w:val="24"/>
        </w:rPr>
        <w:t>, 29(1), 1–30.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Field, H. (1980). </w:t>
      </w:r>
      <w:r>
        <w:rPr>
          <w:rFonts w:eastAsia="Times New Roman" w:cs="Times New Roman"/>
          <w:i/>
          <w:iCs/>
          <w:sz w:val="24"/>
          <w:szCs w:val="24"/>
        </w:rPr>
        <w:t>Science Without Numbers</w:t>
      </w:r>
      <w:r>
        <w:rPr>
          <w:rFonts w:eastAsia="Times New Roman" w:cs="Times New Roman"/>
          <w:sz w:val="24"/>
          <w:szCs w:val="24"/>
        </w:rPr>
        <w:t>. Princeton University Press.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Gödel, K. (1944). Russell's mathematical logic. In P. A. Schilpp (Ed.), </w:t>
      </w:r>
      <w:r>
        <w:rPr>
          <w:rFonts w:eastAsia="Times New Roman" w:cs="Times New Roman"/>
          <w:i/>
          <w:iCs/>
          <w:sz w:val="24"/>
          <w:szCs w:val="24"/>
        </w:rPr>
        <w:t>The Philosophy of Bertrand Russell</w:t>
      </w:r>
      <w:r>
        <w:rPr>
          <w:rFonts w:eastAsia="Times New Roman" w:cs="Times New Roman"/>
          <w:sz w:val="24"/>
          <w:szCs w:val="24"/>
        </w:rPr>
        <w:t>. Northwestern University.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Heyting, A. (1956). </w:t>
      </w:r>
      <w:r>
        <w:rPr>
          <w:rFonts w:eastAsia="Times New Roman" w:cs="Times New Roman"/>
          <w:i/>
          <w:iCs/>
          <w:sz w:val="24"/>
          <w:szCs w:val="24"/>
        </w:rPr>
        <w:t>Intuitionism: An Introduction</w:t>
      </w:r>
      <w:r>
        <w:rPr>
          <w:rFonts w:eastAsia="Times New Roman" w:cs="Times New Roman"/>
          <w:sz w:val="24"/>
          <w:szCs w:val="24"/>
        </w:rPr>
        <w:t>. North-Holland.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Hilbert, D. (1926). Über das Unendliche. </w:t>
      </w:r>
      <w:r>
        <w:rPr>
          <w:rFonts w:eastAsia="Times New Roman" w:cs="Times New Roman"/>
          <w:i/>
          <w:iCs/>
          <w:sz w:val="24"/>
          <w:szCs w:val="24"/>
        </w:rPr>
        <w:t>Mathematische Annalen</w:t>
      </w:r>
      <w:r>
        <w:rPr>
          <w:rFonts w:eastAsia="Times New Roman" w:cs="Times New Roman"/>
          <w:sz w:val="24"/>
          <w:szCs w:val="24"/>
        </w:rPr>
        <w:t>, 95(1), 161–190.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Kleene, S. C. (1945). On the interpretation of intuitionistic number theory. </w:t>
      </w:r>
      <w:r>
        <w:rPr>
          <w:rFonts w:eastAsia="Times New Roman" w:cs="Times New Roman"/>
          <w:i/>
          <w:iCs/>
          <w:sz w:val="24"/>
          <w:szCs w:val="24"/>
        </w:rPr>
        <w:t>Journal of Symbolic Logic</w:t>
      </w:r>
      <w:r>
        <w:rPr>
          <w:rFonts w:eastAsia="Times New Roman" w:cs="Times New Roman"/>
          <w:sz w:val="24"/>
          <w:szCs w:val="24"/>
        </w:rPr>
        <w:t>, 10(4), 109–124.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Lambert, K. (1991). </w:t>
      </w:r>
      <w:r>
        <w:rPr>
          <w:rFonts w:eastAsia="Times New Roman" w:cs="Times New Roman"/>
          <w:i/>
          <w:iCs/>
          <w:sz w:val="24"/>
          <w:szCs w:val="24"/>
        </w:rPr>
        <w:t>Philosophical Applications of Free Logic</w:t>
      </w:r>
      <w:r>
        <w:rPr>
          <w:rFonts w:eastAsia="Times New Roman" w:cs="Times New Roman"/>
          <w:sz w:val="24"/>
          <w:szCs w:val="24"/>
        </w:rPr>
        <w:t>. Oxford University Press.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Lawvere, F. W. (1964). An elementary theory of the category of sets. </w:t>
      </w:r>
      <w:r>
        <w:rPr>
          <w:rFonts w:eastAsia="Times New Roman" w:cs="Times New Roman"/>
          <w:i/>
          <w:iCs/>
          <w:sz w:val="24"/>
          <w:szCs w:val="24"/>
        </w:rPr>
        <w:t>Proceedings of the National Academy of Sciences</w:t>
      </w:r>
      <w:r>
        <w:rPr>
          <w:rFonts w:eastAsia="Times New Roman" w:cs="Times New Roman"/>
          <w:sz w:val="24"/>
          <w:szCs w:val="24"/>
        </w:rPr>
        <w:t>, 52(6), 1506–1511.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Löwenheim, L. (1915). Über Möglichkeiten im Relativkalkül. </w:t>
      </w:r>
      <w:r>
        <w:rPr>
          <w:rFonts w:eastAsia="Times New Roman" w:cs="Times New Roman"/>
          <w:i/>
          <w:iCs/>
          <w:sz w:val="24"/>
          <w:szCs w:val="24"/>
        </w:rPr>
        <w:t>Mathematische Annalen</w:t>
      </w:r>
      <w:r>
        <w:rPr>
          <w:rFonts w:eastAsia="Times New Roman" w:cs="Times New Roman"/>
          <w:sz w:val="24"/>
          <w:szCs w:val="24"/>
        </w:rPr>
        <w:t>, 76(4), 447–470.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Mendelson, E. (2015). </w:t>
      </w:r>
      <w:r>
        <w:rPr>
          <w:rFonts w:eastAsia="Times New Roman" w:cs="Times New Roman"/>
          <w:i/>
          <w:iCs/>
          <w:sz w:val="24"/>
          <w:szCs w:val="24"/>
        </w:rPr>
        <w:t>Introduction to Mathematical Logic</w:t>
      </w:r>
      <w:r>
        <w:rPr>
          <w:rFonts w:eastAsia="Times New Roman" w:cs="Times New Roman"/>
          <w:sz w:val="24"/>
          <w:szCs w:val="24"/>
        </w:rPr>
        <w:t xml:space="preserve"> (6th ed.). Chapman and Hall/CRC.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Nelson, E. (1977). Internal set theory: A new approach to nonstandard analysis. </w:t>
      </w:r>
      <w:r>
        <w:rPr>
          <w:rFonts w:eastAsia="Times New Roman" w:cs="Times New Roman"/>
          <w:i/>
          <w:iCs/>
          <w:sz w:val="24"/>
          <w:szCs w:val="24"/>
        </w:rPr>
        <w:t>Bulletin of the American Mathematical Society</w:t>
      </w:r>
      <w:r>
        <w:rPr>
          <w:rFonts w:eastAsia="Times New Roman" w:cs="Times New Roman"/>
          <w:sz w:val="24"/>
          <w:szCs w:val="24"/>
        </w:rPr>
        <w:t>, 83(6), 1165–1198.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Ockham, William of. (c. 1323). </w:t>
      </w:r>
      <w:r>
        <w:rPr>
          <w:rFonts w:eastAsia="Times New Roman" w:cs="Times New Roman"/>
          <w:i/>
          <w:iCs/>
          <w:sz w:val="24"/>
          <w:szCs w:val="24"/>
        </w:rPr>
        <w:t>Summa Logicae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Popper, K. (1972). </w:t>
      </w:r>
      <w:r>
        <w:rPr>
          <w:rFonts w:eastAsia="Times New Roman" w:cs="Times New Roman"/>
          <w:i/>
          <w:iCs/>
          <w:sz w:val="24"/>
          <w:szCs w:val="24"/>
        </w:rPr>
        <w:t>Objective Knowledge: An Evolutionary Approach</w:t>
      </w:r>
      <w:r>
        <w:rPr>
          <w:rFonts w:eastAsia="Times New Roman" w:cs="Times New Roman"/>
          <w:sz w:val="24"/>
          <w:szCs w:val="24"/>
        </w:rPr>
        <w:t>. Oxford University Press.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Quine, W. V. O. (1951). Two dogmas of empiricism. </w:t>
      </w:r>
      <w:r>
        <w:rPr>
          <w:rFonts w:eastAsia="Times New Roman" w:cs="Times New Roman"/>
          <w:i/>
          <w:iCs/>
          <w:sz w:val="24"/>
          <w:szCs w:val="24"/>
        </w:rPr>
        <w:t>The Philosophical Review</w:t>
      </w:r>
      <w:r>
        <w:rPr>
          <w:rFonts w:eastAsia="Times New Roman" w:cs="Times New Roman"/>
          <w:sz w:val="24"/>
          <w:szCs w:val="24"/>
        </w:rPr>
        <w:t>, 60(1), 20–43.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Reznik, V. (2026). </w:t>
      </w:r>
      <w:r>
        <w:rPr>
          <w:rFonts w:eastAsia="Times New Roman" w:cs="Times New Roman"/>
          <w:i/>
          <w:iCs/>
          <w:sz w:val="24"/>
          <w:szCs w:val="24"/>
        </w:rPr>
        <w:t>VR. A Formal System: A Minimalist Axiomatization of Arithmetic Grounded in Leibnizian Void</w:t>
      </w:r>
      <w:r>
        <w:rPr>
          <w:rFonts w:eastAsia="Times New Roman" w:cs="Times New Roman"/>
          <w:sz w:val="24"/>
          <w:szCs w:val="24"/>
        </w:rPr>
        <w:t>. Zenodo. DOI: 10.5281/zenodo.20212092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Reznik, V. (2026). </w:t>
      </w:r>
      <w:r>
        <w:rPr>
          <w:rFonts w:eastAsia="Times New Roman" w:cs="Times New Roman"/>
          <w:i/>
          <w:iCs/>
          <w:sz w:val="24"/>
          <w:szCs w:val="24"/>
        </w:rPr>
        <w:t>VR-Numbers: Operational Extensions over the Natural Numbers of VR</w:t>
      </w:r>
      <w:r>
        <w:rPr>
          <w:rFonts w:eastAsia="Times New Roman" w:cs="Times New Roman"/>
          <w:sz w:val="24"/>
          <w:szCs w:val="24"/>
        </w:rPr>
        <w:t>. Zenodo. DOI: 10.5281/zenodo.20272743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Reznik, V. (2026). </w:t>
      </w:r>
      <w:r>
        <w:rPr>
          <w:rFonts w:eastAsia="Times New Roman" w:cs="Times New Roman"/>
          <w:i/>
          <w:iCs/>
          <w:sz w:val="24"/>
          <w:szCs w:val="24"/>
        </w:rPr>
        <w:t>VR-Sets: An Operational Theory of Sets Grounded in Leibnizian Void</w:t>
      </w:r>
      <w:r>
        <w:rPr>
          <w:rFonts w:eastAsia="Times New Roman" w:cs="Times New Roman"/>
          <w:sz w:val="24"/>
          <w:szCs w:val="24"/>
        </w:rPr>
        <w:t>. Zenodo. DOI: 10.5281/zenodo.20303536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Robinson, A. (1966). </w:t>
      </w:r>
      <w:r>
        <w:rPr>
          <w:rFonts w:eastAsia="Times New Roman" w:cs="Times New Roman"/>
          <w:i/>
          <w:iCs/>
          <w:sz w:val="24"/>
          <w:szCs w:val="24"/>
        </w:rPr>
        <w:t>Non-standard Analysis</w:t>
      </w:r>
      <w:r>
        <w:rPr>
          <w:rFonts w:eastAsia="Times New Roman" w:cs="Times New Roman"/>
          <w:sz w:val="24"/>
          <w:szCs w:val="24"/>
        </w:rPr>
        <w:t>. North-Holland.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Russell, B. (1903). </w:t>
      </w:r>
      <w:r>
        <w:rPr>
          <w:rFonts w:eastAsia="Times New Roman" w:cs="Times New Roman"/>
          <w:i/>
          <w:iCs/>
          <w:sz w:val="24"/>
          <w:szCs w:val="24"/>
        </w:rPr>
        <w:t>The Principles of Mathematics</w:t>
      </w:r>
      <w:r>
        <w:rPr>
          <w:rFonts w:eastAsia="Times New Roman" w:cs="Times New Roman"/>
          <w:sz w:val="24"/>
          <w:szCs w:val="24"/>
        </w:rPr>
        <w:t>. Cambridge University Press.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Shapiro, S. (1997). </w:t>
      </w:r>
      <w:r>
        <w:rPr>
          <w:rFonts w:eastAsia="Times New Roman" w:cs="Times New Roman"/>
          <w:i/>
          <w:iCs/>
          <w:sz w:val="24"/>
          <w:szCs w:val="24"/>
        </w:rPr>
        <w:t>Philosophy of Mathematics: Structure and Ontology</w:t>
      </w:r>
      <w:r>
        <w:rPr>
          <w:rFonts w:eastAsia="Times New Roman" w:cs="Times New Roman"/>
          <w:sz w:val="24"/>
          <w:szCs w:val="24"/>
        </w:rPr>
        <w:t>. Oxford University Press.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Simpson, S. G. (2009). </w:t>
      </w:r>
      <w:r>
        <w:rPr>
          <w:rFonts w:eastAsia="Times New Roman" w:cs="Times New Roman"/>
          <w:i/>
          <w:iCs/>
          <w:sz w:val="24"/>
          <w:szCs w:val="24"/>
        </w:rPr>
        <w:t>Subsystems of Second Order Arithmetic</w:t>
      </w:r>
      <w:r>
        <w:rPr>
          <w:rFonts w:eastAsia="Times New Roman" w:cs="Times New Roman"/>
          <w:sz w:val="24"/>
          <w:szCs w:val="24"/>
        </w:rPr>
        <w:t xml:space="preserve"> (2nd ed.). Cambridge University Press.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Skolem, T. (1923). Einige Bemerkungen zur axiomatischen Begründung der Mengenlehre. </w:t>
      </w:r>
      <w:r>
        <w:rPr>
          <w:rFonts w:eastAsia="Times New Roman" w:cs="Times New Roman"/>
          <w:i/>
          <w:iCs/>
          <w:sz w:val="24"/>
          <w:szCs w:val="24"/>
        </w:rPr>
        <w:t>Matematikerkongressen i Helsingfors</w:t>
      </w:r>
      <w:r>
        <w:rPr>
          <w:rFonts w:eastAsia="Times New Roman" w:cs="Times New Roman"/>
          <w:sz w:val="24"/>
          <w:szCs w:val="24"/>
        </w:rPr>
        <w:t>, 217–232.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Tarski, A. (1933). Pojęcie prawdy w językach nauk dedukcyjnych. </w:t>
      </w:r>
      <w:r>
        <w:rPr>
          <w:rFonts w:eastAsia="Times New Roman" w:cs="Times New Roman"/>
          <w:i/>
          <w:iCs/>
          <w:sz w:val="24"/>
          <w:szCs w:val="24"/>
        </w:rPr>
        <w:t>Prace Towarzystwa Naukowego Warszawskiego</w:t>
      </w:r>
      <w:r>
        <w:rPr>
          <w:rFonts w:eastAsia="Times New Roman" w:cs="Times New Roman"/>
          <w:sz w:val="24"/>
          <w:szCs w:val="24"/>
        </w:rPr>
        <w:t>, No. 34.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Univalent Foundations Program. (2013). </w:t>
      </w:r>
      <w:r>
        <w:rPr>
          <w:rFonts w:eastAsia="Times New Roman" w:cs="Times New Roman"/>
          <w:i/>
          <w:iCs/>
          <w:sz w:val="24"/>
          <w:szCs w:val="24"/>
        </w:rPr>
        <w:t>Homotopy Type Theory: Univalent Foundations of Mathematics</w:t>
      </w:r>
      <w:r>
        <w:rPr>
          <w:rFonts w:eastAsia="Times New Roman" w:cs="Times New Roman"/>
          <w:sz w:val="24"/>
          <w:szCs w:val="24"/>
        </w:rPr>
        <w:t>. Institute for Advanced Study.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Weihrauch, K. (2000). </w:t>
      </w:r>
      <w:r>
        <w:rPr>
          <w:rFonts w:eastAsia="Times New Roman" w:cs="Times New Roman"/>
          <w:i/>
          <w:iCs/>
          <w:sz w:val="24"/>
          <w:szCs w:val="24"/>
        </w:rPr>
        <w:t>Computable Analysis: An Introduction</w:t>
      </w:r>
      <w:r>
        <w:rPr>
          <w:rFonts w:eastAsia="Times New Roman" w:cs="Times New Roman"/>
          <w:sz w:val="24"/>
          <w:szCs w:val="24"/>
        </w:rPr>
        <w:t>. Springer-Verlag.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Whitehead, A. N. (1929). </w:t>
      </w:r>
      <w:r>
        <w:rPr>
          <w:rFonts w:eastAsia="Times New Roman" w:cs="Times New Roman"/>
          <w:i/>
          <w:iCs/>
          <w:sz w:val="24"/>
          <w:szCs w:val="24"/>
        </w:rPr>
        <w:t>Process and Reality</w:t>
      </w:r>
      <w:r>
        <w:rPr>
          <w:rFonts w:eastAsia="Times New Roman" w:cs="Times New Roman"/>
          <w:sz w:val="24"/>
          <w:szCs w:val="24"/>
        </w:rPr>
        <w:t>. Macmillan.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Wittgenstein, L. (1953). </w:t>
      </w:r>
      <w:r>
        <w:rPr>
          <w:rFonts w:eastAsia="Times New Roman" w:cs="Times New Roman"/>
          <w:i/>
          <w:iCs/>
          <w:sz w:val="24"/>
          <w:szCs w:val="24"/>
        </w:rPr>
        <w:t>Philosophical Investigations</w:t>
      </w:r>
      <w:r>
        <w:rPr>
          <w:rFonts w:eastAsia="Times New Roman" w:cs="Times New Roman"/>
          <w:sz w:val="24"/>
          <w:szCs w:val="24"/>
        </w:rPr>
        <w:t>. Macmillan.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Zermelo, E. (1908). Untersuchungen über die Grundlagen der Mengenlehre. </w:t>
      </w:r>
      <w:r>
        <w:rPr>
          <w:rFonts w:eastAsia="Times New Roman" w:cs="Times New Roman"/>
          <w:i/>
          <w:iCs/>
          <w:sz w:val="24"/>
          <w:szCs w:val="24"/>
        </w:rPr>
        <w:t>Mathematische Annalen</w:t>
      </w:r>
      <w:r>
        <w:rPr>
          <w:rFonts w:eastAsia="Times New Roman" w:cs="Times New Roman"/>
          <w:sz w:val="24"/>
          <w:szCs w:val="24"/>
        </w:rPr>
        <w:t>, 65(2), 261–281.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Признание помощи ИИ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i/>
          <w:iCs/>
          <w:sz w:val="24"/>
          <w:szCs w:val="24"/>
        </w:rPr>
        <w:t>Формальное оформление настоящего препринта было подготовлено с помощью Claude (Anthropic, model Opus 4.7) для черновика, перевода на английский, языковой полировки и проверки согласованности. Всё математическое содержание, определения, теоремы и онтологические позиции принадлежат автору.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>
      <w:spacing w:before="220" w:after="120"/>
      <w:outlineLvl w:val="2"/>
    </w:pPr>
    <w:rPr>
      <w:rFonts w:ascii="Times New Roman" w:hAnsi="Times New Roman" w:eastAsia="Times New Roman" w:cs="Times New Roman"/>
      <w:b/>
      <w:bCs/>
      <w:sz w:val="25"/>
      <w:szCs w:val="25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2851</Words>
  <Characters>15339</Characters>
  <CharactersWithSpaces>18116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2026-05-19T10:08:10Z</dcterms:created>
  <dc:creator>Vitaly Reznik</dc:creator>
  <dc:description>Foundations</dc:description>
  <dc:language>en-US</dc:language>
  <cp:lastModifiedBy/>
  <dcterms:modified xsi:type="dcterms:W3CDTF">2026-05-19T23:14:32Z</dcterms:modified>
  <cp:revision>2</cp:revision>
  <dc:subject/>
  <dc:title>VR-Sets Part I (EN)</dc:title>
</cp:coreProperties>
</file>