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This report covers the quarter. The </w:t>
      </w:r>
      <w:r>
        <w:rPr>
          <w:b/>
        </w:rPr>
        <w:t>revenue target</w:t>
      </w:r>
      <w:r>
        <w:t xml:space="preserve"> was met in all regions.</w:t>
      </w:r>
    </w:p>
    <w:p>
      <w:pPr>
        <w:pStyle w:val="Heading2"/>
      </w:pPr>
      <w:r>
        <w:t>Regions</w:t>
      </w:r>
    </w:p>
    <w:p>
      <w:r>
        <w:t>North grew fastest, then the east.</w:t>
      </w:r>
    </w:p>
    <w:p>
      <w:pPr>
        <w:pStyle w:val="ListBullet"/>
      </w:pPr>
      <w:r>
        <w:t>North</w:t>
      </w:r>
    </w:p>
    <w:p>
      <w:pPr>
        <w:pStyle w:val="ListBullet"/>
      </w:pPr>
      <w:r>
        <w:t>East</w:t>
      </w:r>
    </w:p>
    <w:p>
      <w:pPr>
        <w:pStyle w:val="ListNumber"/>
      </w:pPr>
      <w:r>
        <w:t>Hire two engineers</w:t>
      </w:r>
    </w:p>
    <w:p>
      <w:pPr>
        <w:pStyle w:val="ListNumber"/>
      </w:pPr>
      <w:r>
        <w:t>Open the Lisbon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Growth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</w:tbl>
    <w:p>
      <w:pPr>
        <w:pStyle w:val="Heading2"/>
      </w:pPr>
      <w:r>
        <w:t>Risks</w:t>
      </w:r>
    </w:p>
    <w:p>
      <w:r>
        <w:t>Hiring could slip a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readOnly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