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Prumo.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383D" w14:textId="06277A43" w:rsidR="00A413AB" w:rsidRPr="00A413AB" w:rsidRDefault="00A413AB" w:rsidP="00A413AB">
      <w:pPr>
        <w:jc w:val="right"/>
        <w:rPr>
          <w:i/>
          <w:iCs/>
          <w:sz w:val="28"/>
          <w:szCs w:val="28"/>
        </w:rPr>
      </w:pPr>
      <w:proofErr w:type="spellStart"/>
      <w:r>
        <w:rPr>
          <w:i/>
          <w:iCs/>
          <w:sz w:val="28"/>
          <w:szCs w:val="28"/>
        </w:rPr>
        <w:t>Prumo</w:t>
      </w:r>
      <w:proofErr w:type="spellEnd"/>
      <w:r>
        <w:rPr>
          <w:i/>
          <w:iCs/>
          <w:sz w:val="28"/>
          <w:szCs w:val="28"/>
        </w:rPr>
        <w:t>: Consultora Turística</w:t>
      </w:r>
    </w:p>
    <w:p w14:paraId="7AB9F7F3" w14:textId="77777777" w:rsidR="00A413AB" w:rsidRDefault="00A413AB" w:rsidP="006017ED">
      <w:pPr>
        <w:jc w:val="both"/>
        <w:rPr>
          <w:b/>
          <w:bCs/>
          <w:sz w:val="28"/>
          <w:szCs w:val="28"/>
        </w:rPr>
      </w:pPr>
    </w:p>
    <w:p w14:paraId="51977C9D" w14:textId="09892724" w:rsidR="006017ED" w:rsidRPr="006017ED" w:rsidRDefault="006017ED" w:rsidP="00A413AB">
      <w:pPr>
        <w:jc w:val="center"/>
        <w:rPr>
          <w:b/>
          <w:bCs/>
          <w:sz w:val="28"/>
          <w:szCs w:val="28"/>
        </w:rPr>
      </w:pPr>
      <w:r w:rsidRPr="006017ED">
        <w:rPr>
          <w:b/>
          <w:bCs/>
          <w:sz w:val="28"/>
          <w:szCs w:val="28"/>
        </w:rPr>
        <w:t>Marco Jurídico de las Reservas Naturales Privada</w:t>
      </w:r>
      <w:r>
        <w:rPr>
          <w:b/>
          <w:bCs/>
          <w:sz w:val="28"/>
          <w:szCs w:val="28"/>
        </w:rPr>
        <w:t>s,</w:t>
      </w:r>
      <w:r w:rsidRPr="006017ED">
        <w:rPr>
          <w:b/>
          <w:bCs/>
          <w:sz w:val="28"/>
          <w:szCs w:val="28"/>
        </w:rPr>
        <w:t xml:space="preserve"> La Ley </w:t>
      </w:r>
      <w:proofErr w:type="spellStart"/>
      <w:r w:rsidRPr="006017ED">
        <w:rPr>
          <w:b/>
          <w:bCs/>
          <w:sz w:val="28"/>
          <w:szCs w:val="28"/>
        </w:rPr>
        <w:t>Nº</w:t>
      </w:r>
      <w:proofErr w:type="spellEnd"/>
      <w:r w:rsidRPr="006017ED">
        <w:rPr>
          <w:b/>
          <w:bCs/>
          <w:sz w:val="28"/>
          <w:szCs w:val="28"/>
        </w:rPr>
        <w:t xml:space="preserve"> 6569</w:t>
      </w:r>
    </w:p>
    <w:p w14:paraId="3B9483F4" w14:textId="457D4224" w:rsidR="006017ED" w:rsidRPr="006017ED" w:rsidRDefault="006017ED" w:rsidP="00A413AB">
      <w:pPr>
        <w:ind w:firstLine="708"/>
        <w:jc w:val="both"/>
      </w:pPr>
      <w:r>
        <w:t>La</w:t>
      </w:r>
      <w:r w:rsidRPr="006017ED">
        <w:t xml:space="preserve"> Ley Provincial </w:t>
      </w:r>
      <w:proofErr w:type="spellStart"/>
      <w:r w:rsidRPr="006017ED">
        <w:t>Nº</w:t>
      </w:r>
      <w:proofErr w:type="spellEnd"/>
      <w:r w:rsidRPr="006017ED">
        <w:t xml:space="preserve"> 6569, sancionada en el año 2021 por la Honorable Legislatura de la Provincia de Corrientes</w:t>
      </w:r>
      <w:r>
        <w:t>,</w:t>
      </w:r>
      <w:r w:rsidRPr="006017ED">
        <w:t xml:space="preserve"> regula de manera específica el régimen jurídico aplicable a las Reservas Naturales Privadas, definiendo un esquema donde la conservación ecológica converge armónicamente con la titularidad privada y la explotación sustentable. La promulgación de esta ley cristaliza la voluntad política de integrar los esfuerzos del capital privado en la matriz de preservación provincial, ofreciendo un marco de seguridad jurídica para los desarrolladores que deciden destinar porciones significativas de sus inmuebles a la salvaguarda perpetua de la flora, la fauna y los procesos ecosistémicos.</w:t>
      </w:r>
    </w:p>
    <w:p w14:paraId="4B96F737" w14:textId="77777777" w:rsidR="006017ED" w:rsidRPr="006017ED" w:rsidRDefault="006017ED" w:rsidP="00A413AB">
      <w:pPr>
        <w:ind w:firstLine="708"/>
        <w:jc w:val="both"/>
      </w:pPr>
      <w:r w:rsidRPr="006017ED">
        <w:t xml:space="preserve">El espíritu de la Ley </w:t>
      </w:r>
      <w:proofErr w:type="spellStart"/>
      <w:r w:rsidRPr="006017ED">
        <w:t>Nº</w:t>
      </w:r>
      <w:proofErr w:type="spellEnd"/>
      <w:r w:rsidRPr="006017ED">
        <w:t xml:space="preserve"> 6569 radica en la voluntariedad de la afectación. A diferencia de los procesos de expropiación por utilidad pública característicos de la creación de parques nacionales o provinciales tradicionales, la declaración de una Reserva Natural Privada nace del consentimiento expreso y documentado de los titulares registrales del predio, ya sean personas humanas o jurídicas. Esta declaración puede ser formulada y propuesta directamente por el propietario del inmueble que posee un interés genuino en la preservación de los valores biológicos y paisajísticos de su propiedad, o bien, puede ser impulsada por la Autoridad de Aplicación provincial siempre que medie la conformidad indubitable del dueño del capital.</w:t>
      </w:r>
    </w:p>
    <w:p w14:paraId="7996CF12" w14:textId="77777777" w:rsidR="006017ED" w:rsidRPr="006017ED" w:rsidRDefault="006017ED" w:rsidP="00A413AB">
      <w:pPr>
        <w:jc w:val="center"/>
        <w:rPr>
          <w:b/>
          <w:bCs/>
          <w:sz w:val="28"/>
          <w:szCs w:val="28"/>
        </w:rPr>
      </w:pPr>
      <w:r w:rsidRPr="006017ED">
        <w:rPr>
          <w:b/>
          <w:bCs/>
          <w:sz w:val="28"/>
          <w:szCs w:val="28"/>
        </w:rPr>
        <w:t>Procedimiento Administrativo y Requisitos de Admisión</w:t>
      </w:r>
    </w:p>
    <w:p w14:paraId="2992DA6E" w14:textId="77777777" w:rsidR="006017ED" w:rsidRPr="006017ED" w:rsidRDefault="006017ED" w:rsidP="00A413AB">
      <w:pPr>
        <w:ind w:firstLine="708"/>
        <w:jc w:val="both"/>
      </w:pPr>
      <w:r w:rsidRPr="006017ED">
        <w:t>La constitución formal de una Reserva Natural Privada no es un acto meramente declarativo, sino que exige la superación de un riguroso proceso de evaluación técnica y administrativa ante la Dirección de Parques y Reservas Naturales de la Provincia, entidad dependiente de los ministerios productivos que ejerce las funciones de contralor y vigilancia ambiental. Para que la delimitación de una zona sea considerada prioritaria para su inclusión en este régimen, la ley establece en su Artículo 9º que el sitio debe contar con rasgos superlativos, ya sea por su representatividad biogeográfica, por albergar especies de flora o fauna endémicas, raras o en peligro, por proteger cuencas hídricas vitales, o por poseer singularidades geomorfológicas y paisajísticas invaluables.</w:t>
      </w:r>
    </w:p>
    <w:p w14:paraId="01D26F3A" w14:textId="77777777" w:rsidR="006017ED" w:rsidRPr="006017ED" w:rsidRDefault="006017ED" w:rsidP="00A413AB">
      <w:pPr>
        <w:ind w:firstLine="708"/>
        <w:jc w:val="both"/>
      </w:pPr>
      <w:r w:rsidRPr="006017ED">
        <w:t>El proceso inicia con la presentación de un expediente administrativo sustancioso por parte de la sociedad inversora. Este dossier técnico debe contener un informe pormenorizado sobre las actividades productivas preexistentes en la parcela y el método actual de utilización de los recursos naturales, permitiendo a la autoridad trazar una línea de base ambiental. Seguidamente, se debe adjuntar un estudio multidisciplinario que abarque el relieve topográfico, la hidrografía, un inventario exhaustivo de la flora y la fauna, complementado con cartografía de precisión que georreferencie los distintos elementos ecológicos del terreno.</w:t>
      </w:r>
    </w:p>
    <w:p w14:paraId="0101BF91" w14:textId="77777777" w:rsidR="006017ED" w:rsidRPr="006017ED" w:rsidRDefault="006017ED" w:rsidP="00A413AB">
      <w:pPr>
        <w:ind w:firstLine="708"/>
        <w:jc w:val="both"/>
      </w:pPr>
      <w:r w:rsidRPr="006017ED">
        <w:lastRenderedPageBreak/>
        <w:t>El corazón documental de la propuesta lo constituyen el Plan de Manejo y el Plan Operativo Anual (POA). El Plan de Manejo es el instrumento rector que define a mediano y largo plazo los objetivos de conservación, zonificando el área para determinar qué sectores serán intangibles, cuáles permitirán una recuperación ecológica y cuáles estarán destinados al uso público regulado. Por su parte, el Plan Operativo Anual detalla las intervenciones específicas, los presupuestos asignados y los cronogramas de ejecución para el año en curso, garantizando que el compromiso del inversor extranjero se traduzca en acciones palpables de protección, tales como la vigilancia contra el furtivismo, el control de especies exóticas invasoras o la restauración de hábitats degradados.</w:t>
      </w:r>
    </w:p>
    <w:p w14:paraId="3B1ED9B2" w14:textId="77777777" w:rsidR="006017ED" w:rsidRPr="006017ED" w:rsidRDefault="006017ED" w:rsidP="00A413AB">
      <w:pPr>
        <w:jc w:val="center"/>
        <w:rPr>
          <w:b/>
          <w:bCs/>
          <w:sz w:val="28"/>
          <w:szCs w:val="28"/>
        </w:rPr>
      </w:pPr>
      <w:r w:rsidRPr="006017ED">
        <w:rPr>
          <w:b/>
          <w:bCs/>
          <w:sz w:val="28"/>
          <w:szCs w:val="28"/>
        </w:rPr>
        <w:t>Implicancias sobre el Dominio y Compatibilidad con la Explotación Turística</w:t>
      </w:r>
    </w:p>
    <w:p w14:paraId="29925F18" w14:textId="77777777" w:rsidR="006017ED" w:rsidRPr="006017ED" w:rsidRDefault="006017ED" w:rsidP="00A413AB">
      <w:pPr>
        <w:ind w:firstLine="708"/>
        <w:jc w:val="both"/>
      </w:pPr>
      <w:r w:rsidRPr="006017ED">
        <w:t xml:space="preserve">Al adherirse al régimen de la Ley </w:t>
      </w:r>
      <w:proofErr w:type="spellStart"/>
      <w:r w:rsidRPr="006017ED">
        <w:t>Nº</w:t>
      </w:r>
      <w:proofErr w:type="spellEnd"/>
      <w:r w:rsidRPr="006017ED">
        <w:t xml:space="preserve"> 6569, el titular de la Reserva Natural Privada asume obligaciones que limitan ciertas facultades de su derecho de dominio en aras del bien común ambiental. Las pautas de manejo y las responsabilidades del propietario se homologan a las establecidas para las categorías públicas de la Ley </w:t>
      </w:r>
      <w:proofErr w:type="spellStart"/>
      <w:r w:rsidRPr="006017ED">
        <w:t>Nº</w:t>
      </w:r>
      <w:proofErr w:type="spellEnd"/>
      <w:r w:rsidRPr="006017ED">
        <w:t xml:space="preserve"> 4736 y sus decretos reglamentarios, lo que implica una renuncia a desarrollar actividades extractivas intensivas, loteos de alta densidad o alteraciones drásticas del paisaje que pongan en riesgo la integridad del ecosistema. Estas restricciones, lejos de ser un pasivo, actúan como un blindaje jurídico que garantiza la perpetuidad del entorno inalterado, erigiéndose como el principal activo diferenciador del emprendimiento inmobiliario frente a los mercados de lujo.</w:t>
      </w:r>
    </w:p>
    <w:p w14:paraId="19083DB2" w14:textId="1AF6E4D7" w:rsidR="00CE71CD" w:rsidRDefault="006017ED" w:rsidP="00A413AB">
      <w:pPr>
        <w:ind w:firstLine="708"/>
        <w:jc w:val="both"/>
      </w:pPr>
      <w:r w:rsidRPr="006017ED">
        <w:t xml:space="preserve">Es imperativo destacar que la afectación a Reserva Privada no anula el aprovechamiento económico del inmueble. De manera visionaria, el Artículo 19 de la Ley </w:t>
      </w:r>
      <w:proofErr w:type="spellStart"/>
      <w:r w:rsidRPr="006017ED">
        <w:t>Nº</w:t>
      </w:r>
      <w:proofErr w:type="spellEnd"/>
      <w:r w:rsidRPr="006017ED">
        <w:t xml:space="preserve"> 6569 dispone que los titulares de estas áreas protegidas conservan la plena facultad de autorizar el uso público de las mismas, siempre que dicha explotación se encuentre subordinada a las directrices aprobadas en su Plan de Gestión. Esta disposición legal viabiliza la construcción y operación de complejos hoteleros, villas de tiempo compartido, restaurantes y centros de interpretación dentro de las zonas de amortiguación o uso múltiple del predio. Toda actividad recreativa y de visitación debe articularse, a su vez, con la Ley Provincial de Turismo </w:t>
      </w:r>
      <w:proofErr w:type="spellStart"/>
      <w:r w:rsidRPr="006017ED">
        <w:t>Nº</w:t>
      </w:r>
      <w:proofErr w:type="spellEnd"/>
      <w:r w:rsidRPr="006017ED">
        <w:t xml:space="preserve"> 6309 y la Ley Provincial de Guías de Turismo </w:t>
      </w:r>
      <w:proofErr w:type="spellStart"/>
      <w:r w:rsidRPr="006017ED">
        <w:t>Nº</w:t>
      </w:r>
      <w:proofErr w:type="spellEnd"/>
      <w:r w:rsidRPr="006017ED">
        <w:t xml:space="preserve"> 6324, asegurando que la prestación de los servicios alcance niveles de profesionalismo, seguridad y excelencia acordes a los estándares exigidos por el público internacional.</w:t>
      </w:r>
    </w:p>
    <w:p w14:paraId="52738797" w14:textId="77777777" w:rsidR="006017ED" w:rsidRPr="006017ED" w:rsidRDefault="006017ED" w:rsidP="006017ED">
      <w:pPr>
        <w:jc w:val="both"/>
        <w:rPr>
          <w:b/>
          <w:bCs/>
          <w:sz w:val="28"/>
          <w:szCs w:val="28"/>
        </w:rPr>
      </w:pPr>
      <w:r w:rsidRPr="006017ED">
        <w:rPr>
          <w:b/>
          <w:bCs/>
          <w:sz w:val="28"/>
          <w:szCs w:val="28"/>
        </w:rPr>
        <w:t>La Red Argentina de Reservas Naturales Privadas y el Aval Institucional</w:t>
      </w:r>
    </w:p>
    <w:p w14:paraId="35259A00" w14:textId="77777777" w:rsidR="006017ED" w:rsidRPr="006017ED" w:rsidRDefault="006017ED" w:rsidP="00A413AB">
      <w:pPr>
        <w:ind w:firstLine="708"/>
        <w:jc w:val="both"/>
      </w:pPr>
      <w:r w:rsidRPr="006017ED">
        <w:t xml:space="preserve">Más allá del reconocimiento legal otorgado por el Estado provincial mediante la Ley </w:t>
      </w:r>
      <w:proofErr w:type="spellStart"/>
      <w:r w:rsidRPr="006017ED">
        <w:t>Nº</w:t>
      </w:r>
      <w:proofErr w:type="spellEnd"/>
      <w:r w:rsidRPr="006017ED">
        <w:t xml:space="preserve"> 6569, el éxito de un proyecto ecoturístico en el plano del marketing internacional y la legitimación social requiere de un andamiaje reputacional sólido. Para satisfacer esta necesidad, los desarrolladores de "La Dorada" deben proyectar el ingreso formal del predio a la Red Argentina de Reservas Naturales Privadas, un consorcio de iniciativas de conservación voluntaria que agrupa a cientos de propietarios a lo largo y ancho del país.</w:t>
      </w:r>
    </w:p>
    <w:p w14:paraId="7E91CC49" w14:textId="77777777" w:rsidR="006017ED" w:rsidRDefault="006017ED" w:rsidP="00A413AB">
      <w:pPr>
        <w:ind w:firstLine="708"/>
        <w:jc w:val="both"/>
      </w:pPr>
      <w:r w:rsidRPr="006017ED">
        <w:lastRenderedPageBreak/>
        <w:t>La participación en esta Red exige trascender el mero cumplimiento burocrático y adentrarse en la conservación activa. Los requisitos para postular el ingreso no son meramente formales; demandan un compromiso verificable con la integridad del territorio. El proceso típico de adhesión involucra que la sociedad propietaria suscriba convenios de cooperación o acuerdos de entendimiento con organizaciones de la sociedad civil de reconocido prestigio en materia ambiental, tales como Aves Argentinas, Fundación Vida Silvestre o fundaciones de arraigo local profundo. Estos acuerdos bilaterales establecen responsabilidades compartidas: mientras el inversor financia y ejecuta los planes de manejo, las Organizaciones No Gubernamentales (</w:t>
      </w:r>
      <w:proofErr w:type="spellStart"/>
      <w:r w:rsidRPr="006017ED">
        <w:t>ONGs</w:t>
      </w:r>
      <w:proofErr w:type="spellEnd"/>
      <w:r w:rsidRPr="006017ED">
        <w:t>) proveen el asesoramiento técnico indispensable para garantizar que las intervenciones posean rigor científico, otorgando simultáneamente el aval institucional necesario para proyectar transparencia y seriedad.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1"/>
        <w:gridCol w:w="5143"/>
      </w:tblGrid>
      <w:tr w:rsidR="006017ED" w:rsidRPr="006017ED" w14:paraId="78DF0F19" w14:textId="77777777" w:rsidTr="006017ED">
        <w:trPr>
          <w:trHeight w:val="978"/>
          <w:tblHeader/>
          <w:tblCellSpacing w:w="15" w:type="dxa"/>
        </w:trPr>
        <w:tc>
          <w:tcPr>
            <w:tcW w:w="0" w:type="auto"/>
            <w:shd w:val="clear" w:color="auto" w:fill="A8D08D" w:themeFill="accent6" w:themeFillTint="99"/>
            <w:tcMar>
              <w:top w:w="120" w:type="dxa"/>
              <w:left w:w="180" w:type="dxa"/>
              <w:bottom w:w="120" w:type="dxa"/>
              <w:right w:w="180" w:type="dxa"/>
            </w:tcMar>
            <w:vAlign w:val="center"/>
            <w:hideMark/>
          </w:tcPr>
          <w:p w14:paraId="10E8A59C" w14:textId="77777777" w:rsidR="006017ED" w:rsidRPr="006017ED" w:rsidRDefault="006017ED" w:rsidP="006017ED">
            <w:pPr>
              <w:jc w:val="center"/>
            </w:pPr>
            <w:r w:rsidRPr="006017ED">
              <w:rPr>
                <w:b/>
                <w:bCs/>
              </w:rPr>
              <w:t>Dimensiones del Compromiso para Integrar la Red de Reservas Privadas</w:t>
            </w:r>
          </w:p>
        </w:tc>
        <w:tc>
          <w:tcPr>
            <w:tcW w:w="0" w:type="auto"/>
            <w:shd w:val="clear" w:color="auto" w:fill="A8D08D" w:themeFill="accent6" w:themeFillTint="99"/>
            <w:tcMar>
              <w:top w:w="120" w:type="dxa"/>
              <w:left w:w="180" w:type="dxa"/>
              <w:bottom w:w="120" w:type="dxa"/>
              <w:right w:w="180" w:type="dxa"/>
            </w:tcMar>
            <w:vAlign w:val="center"/>
            <w:hideMark/>
          </w:tcPr>
          <w:p w14:paraId="48261ACD" w14:textId="77777777" w:rsidR="006017ED" w:rsidRPr="006017ED" w:rsidRDefault="006017ED" w:rsidP="006017ED">
            <w:pPr>
              <w:jc w:val="center"/>
            </w:pPr>
            <w:r w:rsidRPr="006017ED">
              <w:rPr>
                <w:b/>
                <w:bCs/>
              </w:rPr>
              <w:t>Acciones Prácticas Ejecutables por el Emprendimiento Turístico</w:t>
            </w:r>
          </w:p>
        </w:tc>
      </w:tr>
      <w:tr w:rsidR="006017ED" w:rsidRPr="006017ED" w14:paraId="16C9AE1B" w14:textId="77777777" w:rsidTr="006017ED">
        <w:trPr>
          <w:tblCellSpacing w:w="15" w:type="dxa"/>
        </w:trPr>
        <w:tc>
          <w:tcPr>
            <w:tcW w:w="0" w:type="auto"/>
            <w:shd w:val="clear" w:color="auto" w:fill="F2F2F2" w:themeFill="background1" w:themeFillShade="F2"/>
            <w:tcMar>
              <w:top w:w="120" w:type="dxa"/>
              <w:left w:w="180" w:type="dxa"/>
              <w:bottom w:w="120" w:type="dxa"/>
              <w:right w:w="180" w:type="dxa"/>
            </w:tcMar>
            <w:vAlign w:val="center"/>
            <w:hideMark/>
          </w:tcPr>
          <w:p w14:paraId="2053301D" w14:textId="77777777" w:rsidR="006017ED" w:rsidRPr="006017ED" w:rsidRDefault="006017ED" w:rsidP="006017ED">
            <w:r w:rsidRPr="006017ED">
              <w:rPr>
                <w:b/>
                <w:bCs/>
              </w:rPr>
              <w:t>Restauración Ecológica Activa</w:t>
            </w:r>
          </w:p>
        </w:tc>
        <w:tc>
          <w:tcPr>
            <w:tcW w:w="0" w:type="auto"/>
            <w:tcMar>
              <w:top w:w="120" w:type="dxa"/>
              <w:left w:w="180" w:type="dxa"/>
              <w:bottom w:w="120" w:type="dxa"/>
              <w:right w:w="180" w:type="dxa"/>
            </w:tcMar>
            <w:vAlign w:val="center"/>
            <w:hideMark/>
          </w:tcPr>
          <w:p w14:paraId="32699018" w14:textId="77777777" w:rsidR="006017ED" w:rsidRPr="006017ED" w:rsidRDefault="006017ED" w:rsidP="006017ED">
            <w:pPr>
              <w:jc w:val="both"/>
            </w:pPr>
            <w:r w:rsidRPr="006017ED">
              <w:t>Erradicación sistemática de especies vegetales exóticas invasoras y enriquecimiento paisajístico con flora nativa en sectores previamente degradados.</w:t>
            </w:r>
          </w:p>
        </w:tc>
      </w:tr>
      <w:tr w:rsidR="006017ED" w:rsidRPr="006017ED" w14:paraId="73993909" w14:textId="77777777" w:rsidTr="006017ED">
        <w:trPr>
          <w:tblCellSpacing w:w="15" w:type="dxa"/>
        </w:trPr>
        <w:tc>
          <w:tcPr>
            <w:tcW w:w="0" w:type="auto"/>
            <w:shd w:val="clear" w:color="auto" w:fill="F2F2F2" w:themeFill="background1" w:themeFillShade="F2"/>
            <w:tcMar>
              <w:top w:w="120" w:type="dxa"/>
              <w:left w:w="180" w:type="dxa"/>
              <w:bottom w:w="120" w:type="dxa"/>
              <w:right w:w="180" w:type="dxa"/>
            </w:tcMar>
            <w:vAlign w:val="center"/>
            <w:hideMark/>
          </w:tcPr>
          <w:p w14:paraId="5228FCED" w14:textId="77777777" w:rsidR="006017ED" w:rsidRPr="006017ED" w:rsidRDefault="006017ED" w:rsidP="006017ED">
            <w:r w:rsidRPr="006017ED">
              <w:rPr>
                <w:b/>
                <w:bCs/>
              </w:rPr>
              <w:t>Protección de Especies Críticas</w:t>
            </w:r>
          </w:p>
        </w:tc>
        <w:tc>
          <w:tcPr>
            <w:tcW w:w="0" w:type="auto"/>
            <w:tcMar>
              <w:top w:w="120" w:type="dxa"/>
              <w:left w:w="180" w:type="dxa"/>
              <w:bottom w:w="120" w:type="dxa"/>
              <w:right w:w="180" w:type="dxa"/>
            </w:tcMar>
            <w:vAlign w:val="center"/>
            <w:hideMark/>
          </w:tcPr>
          <w:p w14:paraId="097BF601" w14:textId="77777777" w:rsidR="006017ED" w:rsidRPr="006017ED" w:rsidRDefault="006017ED" w:rsidP="006017ED">
            <w:pPr>
              <w:jc w:val="both"/>
            </w:pPr>
            <w:r w:rsidRPr="006017ED">
              <w:t>Clausura perimetral estricta de zonas de nidificación o áreas de forrajeo con presencia de fauna de alto valor de conservación.</w:t>
            </w:r>
          </w:p>
        </w:tc>
      </w:tr>
      <w:tr w:rsidR="006017ED" w:rsidRPr="006017ED" w14:paraId="1ACB0DCA" w14:textId="77777777" w:rsidTr="006017ED">
        <w:trPr>
          <w:tblCellSpacing w:w="15" w:type="dxa"/>
        </w:trPr>
        <w:tc>
          <w:tcPr>
            <w:tcW w:w="0" w:type="auto"/>
            <w:shd w:val="clear" w:color="auto" w:fill="F2F2F2" w:themeFill="background1" w:themeFillShade="F2"/>
            <w:tcMar>
              <w:top w:w="120" w:type="dxa"/>
              <w:left w:w="180" w:type="dxa"/>
              <w:bottom w:w="120" w:type="dxa"/>
              <w:right w:w="180" w:type="dxa"/>
            </w:tcMar>
            <w:vAlign w:val="center"/>
            <w:hideMark/>
          </w:tcPr>
          <w:p w14:paraId="582E02B5" w14:textId="77777777" w:rsidR="006017ED" w:rsidRPr="006017ED" w:rsidRDefault="006017ED" w:rsidP="006017ED">
            <w:r w:rsidRPr="006017ED">
              <w:rPr>
                <w:b/>
                <w:bCs/>
              </w:rPr>
              <w:t>Intervención y Reintroducción</w:t>
            </w:r>
          </w:p>
        </w:tc>
        <w:tc>
          <w:tcPr>
            <w:tcW w:w="0" w:type="auto"/>
            <w:tcMar>
              <w:top w:w="120" w:type="dxa"/>
              <w:left w:w="180" w:type="dxa"/>
              <w:bottom w:w="120" w:type="dxa"/>
              <w:right w:w="180" w:type="dxa"/>
            </w:tcMar>
            <w:vAlign w:val="center"/>
            <w:hideMark/>
          </w:tcPr>
          <w:p w14:paraId="782ABE14" w14:textId="77777777" w:rsidR="006017ED" w:rsidRPr="006017ED" w:rsidRDefault="006017ED" w:rsidP="006017ED">
            <w:pPr>
              <w:jc w:val="both"/>
            </w:pPr>
            <w:r w:rsidRPr="006017ED">
              <w:t>Coordinación con autoridades para la eventual reintroducción de fauna silvestre extirpada, sumando un atractivo superlativo al ecoturismo.</w:t>
            </w:r>
          </w:p>
        </w:tc>
      </w:tr>
      <w:tr w:rsidR="006017ED" w:rsidRPr="006017ED" w14:paraId="64F5B161" w14:textId="77777777" w:rsidTr="006017ED">
        <w:trPr>
          <w:tblCellSpacing w:w="15" w:type="dxa"/>
        </w:trPr>
        <w:tc>
          <w:tcPr>
            <w:tcW w:w="0" w:type="auto"/>
            <w:shd w:val="clear" w:color="auto" w:fill="F2F2F2" w:themeFill="background1" w:themeFillShade="F2"/>
            <w:tcMar>
              <w:top w:w="120" w:type="dxa"/>
              <w:left w:w="180" w:type="dxa"/>
              <w:bottom w:w="120" w:type="dxa"/>
              <w:right w:w="180" w:type="dxa"/>
            </w:tcMar>
            <w:vAlign w:val="center"/>
            <w:hideMark/>
          </w:tcPr>
          <w:p w14:paraId="7ADCB00F" w14:textId="77777777" w:rsidR="006017ED" w:rsidRPr="006017ED" w:rsidRDefault="006017ED" w:rsidP="006017ED">
            <w:r w:rsidRPr="006017ED">
              <w:rPr>
                <w:b/>
                <w:bCs/>
              </w:rPr>
              <w:t>Función Social y Científica</w:t>
            </w:r>
          </w:p>
        </w:tc>
        <w:tc>
          <w:tcPr>
            <w:tcW w:w="0" w:type="auto"/>
            <w:tcMar>
              <w:top w:w="120" w:type="dxa"/>
              <w:left w:w="180" w:type="dxa"/>
              <w:bottom w:w="120" w:type="dxa"/>
              <w:right w:w="180" w:type="dxa"/>
            </w:tcMar>
            <w:vAlign w:val="center"/>
            <w:hideMark/>
          </w:tcPr>
          <w:p w14:paraId="7F5B19B2" w14:textId="77777777" w:rsidR="006017ED" w:rsidRPr="006017ED" w:rsidRDefault="006017ED" w:rsidP="006017ED">
            <w:pPr>
              <w:jc w:val="both"/>
            </w:pPr>
            <w:r w:rsidRPr="006017ED">
              <w:t>Promoción de la investigación científica, albergando a biólogos, facilitando el voluntariado internacional y ejecutando programas de educación ambiental.</w:t>
            </w:r>
          </w:p>
        </w:tc>
      </w:tr>
    </w:tbl>
    <w:p w14:paraId="7543CDC7" w14:textId="77777777" w:rsidR="006017ED" w:rsidRDefault="006017ED" w:rsidP="006017ED">
      <w:pPr>
        <w:jc w:val="both"/>
      </w:pPr>
    </w:p>
    <w:p w14:paraId="197C2D99" w14:textId="77777777" w:rsidR="006017ED" w:rsidRPr="006017ED" w:rsidRDefault="006017ED" w:rsidP="00A413AB">
      <w:pPr>
        <w:ind w:firstLine="708"/>
        <w:jc w:val="both"/>
      </w:pPr>
      <w:r w:rsidRPr="006017ED">
        <w:t xml:space="preserve">Existen antecedentes notables en la geografía correntina que demuestran la viabilidad financiera y operativa de este modelo. La "Reserva Natural Privada Don Luis", ubicada en el área de influencia del Portal </w:t>
      </w:r>
      <w:proofErr w:type="spellStart"/>
      <w:r w:rsidRPr="006017ED">
        <w:t>Cambyretá</w:t>
      </w:r>
      <w:proofErr w:type="spellEnd"/>
      <w:r w:rsidRPr="006017ED">
        <w:t xml:space="preserve"> de los Esteros del Iberá, constituye un paradigma del éxito en la integración de la conservación y el turismo. Administrada en colaboración con la Fundación </w:t>
      </w:r>
      <w:proofErr w:type="spellStart"/>
      <w:r w:rsidRPr="006017ED">
        <w:t>Cambyretá</w:t>
      </w:r>
      <w:proofErr w:type="spellEnd"/>
      <w:r w:rsidRPr="006017ED">
        <w:t xml:space="preserve"> para la Naturaleza (FUCANA) y Collett </w:t>
      </w:r>
      <w:r w:rsidRPr="006017ED">
        <w:lastRenderedPageBreak/>
        <w:t>Trust, esta reserva protege casi 1.600 hectáreas de humedales y pastizales que albergan especies amenazadas. Su modelo operativo combina la protección estricta con la oferta de servicios de alojamiento en cabañas, gastronomía y excursiones guiadas para la observación de aves, caminatas interpretativas y safaris fotográficos de fauna mayor como ciervos y yacarés. Este caso evidencia que la superposición de un aval institucional (FUCANA) con una oferta turística estructurada genera un círculo virtuoso donde los ingresos del turismo financian la conservación a perpetuidad, atrayendo a un segmento de mercado que prioriza la sustentabilidad y está dispuesto a abonar tarifas premium por experiencias inmersivas genuinas.</w:t>
      </w:r>
    </w:p>
    <w:p w14:paraId="32837BE3" w14:textId="77777777" w:rsidR="006017ED" w:rsidRPr="005D7CC5" w:rsidRDefault="006017ED" w:rsidP="00A413AB">
      <w:pPr>
        <w:jc w:val="center"/>
        <w:rPr>
          <w:b/>
          <w:bCs/>
          <w:sz w:val="28"/>
          <w:szCs w:val="28"/>
        </w:rPr>
      </w:pPr>
      <w:r w:rsidRPr="005D7CC5">
        <w:rPr>
          <w:b/>
          <w:bCs/>
          <w:sz w:val="28"/>
          <w:szCs w:val="28"/>
        </w:rPr>
        <w:t>Zonas de Seguridad de Fronteras y el Requisito de Previa Conformidad</w:t>
      </w:r>
    </w:p>
    <w:p w14:paraId="79348CB4" w14:textId="77777777" w:rsidR="006017ED" w:rsidRPr="006017ED" w:rsidRDefault="006017ED" w:rsidP="00A413AB">
      <w:pPr>
        <w:ind w:firstLine="708"/>
        <w:jc w:val="both"/>
      </w:pPr>
      <w:r w:rsidRPr="006017ED">
        <w:t>La intrincada geografía hídrica de Corrientes, delimitada por cauces internacionales, sitúa a gran parte de su territorio dentro de la llamada "Zona de Seguridad de Fronteras". Este régimen, dictado por imperativos de defensa nacional, agrega una capa adicional de control estatal que es independiente, pero paralela, a la Ley de Tierras Rurales. Todo acto jurídico que implique la transmisión de dominio, el arrendamiento de largo plazo, las locaciones e incluso la transferencia de derechos accionarios en sociedades que posean inmuebles en estas áreas críticas, requiere ineludiblemente la autorización del Ministerio del Interior de la Nación.</w:t>
      </w:r>
    </w:p>
    <w:p w14:paraId="7006BC0A" w14:textId="77777777" w:rsidR="006017ED" w:rsidRPr="006017ED" w:rsidRDefault="006017ED" w:rsidP="00A413AB">
      <w:pPr>
        <w:ind w:firstLine="708"/>
        <w:jc w:val="both"/>
      </w:pPr>
      <w:r w:rsidRPr="006017ED">
        <w:t>Este acto administrativo habilitante, conocido en el ámbito del derecho notarial y corporativo como "Previa Conformidad", es de carácter obligatorio y previo a la celebración de las escrituras traslativas. La inobservancia de este requisito no constituye una mera infracción administrativa, sino que vicia de nulidad el título de propiedad, impidiendo su inscripción constitutiva en los Registros de la Propiedad Inmueble y exponiendo a la sociedad inversora a gravísimas contingencias jurídicas que pueden paralizar la totalidad del flujo de negocios.</w:t>
      </w:r>
    </w:p>
    <w:p w14:paraId="4D68C624" w14:textId="77777777" w:rsidR="006017ED" w:rsidRPr="006017ED" w:rsidRDefault="006017ED" w:rsidP="00A413AB">
      <w:pPr>
        <w:jc w:val="center"/>
        <w:rPr>
          <w:b/>
          <w:bCs/>
          <w:sz w:val="28"/>
          <w:szCs w:val="28"/>
        </w:rPr>
      </w:pPr>
      <w:r w:rsidRPr="006017ED">
        <w:rPr>
          <w:b/>
          <w:bCs/>
          <w:sz w:val="28"/>
          <w:szCs w:val="28"/>
        </w:rPr>
        <w:t>Documentación y Estructuración del Expediente de Fronteras</w:t>
      </w:r>
    </w:p>
    <w:p w14:paraId="47862C51" w14:textId="77777777" w:rsidR="006017ED" w:rsidRPr="006017ED" w:rsidRDefault="006017ED" w:rsidP="00A413AB">
      <w:pPr>
        <w:ind w:firstLine="708"/>
        <w:jc w:val="both"/>
      </w:pPr>
      <w:r w:rsidRPr="006017ED">
        <w:t xml:space="preserve">El trámite para la obtención de la Previa Conformidad se gestiona mediante canales digitales y demanda un meticuloso armado del legajo corporativo. La sociedad debe presentar los Formularios Oficiales (Formulario </w:t>
      </w:r>
      <w:proofErr w:type="spellStart"/>
      <w:r w:rsidRPr="006017ED">
        <w:t>Nº</w:t>
      </w:r>
      <w:proofErr w:type="spellEnd"/>
      <w:r w:rsidRPr="006017ED">
        <w:t xml:space="preserve"> 1 de Solicitud y Formulario </w:t>
      </w:r>
      <w:proofErr w:type="spellStart"/>
      <w:r w:rsidRPr="006017ED">
        <w:t>Nº</w:t>
      </w:r>
      <w:proofErr w:type="spellEnd"/>
      <w:r w:rsidRPr="006017ED">
        <w:t xml:space="preserve"> 3 de Antecedentes del Inmueble, certificados notarialmente) acompañados de los Certificados de Antecedentes Judiciales de la totalidad de los directores titulares, expedidos por el Registro Nacional de Reincidencia. Se debe acompañar, además, una radiografía corporativa completa: estatuto social, actas de directorio, el último balance contable aprobado y la acreditación irrefutable de la composición accionaria.</w:t>
      </w:r>
    </w:p>
    <w:p w14:paraId="015F0615" w14:textId="77777777" w:rsidR="006017ED" w:rsidRDefault="006017ED" w:rsidP="00A413AB">
      <w:pPr>
        <w:ind w:firstLine="708"/>
        <w:jc w:val="both"/>
      </w:pPr>
      <w:r w:rsidRPr="006017ED">
        <w:t xml:space="preserve">No obstante, el factor decisivo que inclina la balanza hacia la emisión favorable y expedita de la resolución ministerial radica en la presentación de un "Proyecto de Inversión" robusto y fundamentado. La normativa fronteriza es explícita al señalar que se otorgará especial celeridad y atención a aquellos proyectos que demuestren un impacto positivo y sean declarados de interés en el ámbito provincial o municipal. Este proyecto, </w:t>
      </w:r>
      <w:r w:rsidRPr="006017ED">
        <w:lastRenderedPageBreak/>
        <w:t>firmado por la autoridad societaria, debe explicitar sin ambigüedades el monto millonario del capital extranjero a radicar, el flujo de creación de empleo priorizando la mano de obra nacional, y el cumplimiento estricto de los marcos regulatorios aplicables, especialmente los de índole ambiental y turística.</w:t>
      </w:r>
    </w:p>
    <w:p w14:paraId="705D0FE7" w14:textId="77777777" w:rsidR="005D7CC5" w:rsidRDefault="005D7CC5" w:rsidP="005D7CC5">
      <w:pPr>
        <w:jc w:val="both"/>
        <w:rPr>
          <w:b/>
          <w:bCs/>
          <w:sz w:val="28"/>
          <w:szCs w:val="28"/>
        </w:rPr>
      </w:pPr>
    </w:p>
    <w:p w14:paraId="4C1459A7" w14:textId="318903A1" w:rsidR="005D7CC5" w:rsidRPr="005D7CC5" w:rsidRDefault="005D7CC5" w:rsidP="00A413AB">
      <w:pPr>
        <w:jc w:val="center"/>
        <w:rPr>
          <w:b/>
          <w:bCs/>
          <w:sz w:val="28"/>
          <w:szCs w:val="28"/>
        </w:rPr>
      </w:pPr>
      <w:r w:rsidRPr="005D7CC5">
        <w:rPr>
          <w:b/>
          <w:bCs/>
          <w:sz w:val="28"/>
          <w:szCs w:val="28"/>
        </w:rPr>
        <w:t>Procedimiento de Evaluación de Impacto Ambiental (EIA)</w:t>
      </w:r>
    </w:p>
    <w:p w14:paraId="43C03C1A" w14:textId="3D37F7A5" w:rsidR="005D7CC5" w:rsidRPr="005D7CC5" w:rsidRDefault="005D7CC5" w:rsidP="00A413AB">
      <w:pPr>
        <w:ind w:firstLine="708"/>
        <w:jc w:val="both"/>
      </w:pPr>
      <w:r w:rsidRPr="005D7CC5">
        <w:t xml:space="preserve">En la Provincia de Corrientes, toda obra de esta naturaleza está ineludiblemente supeditada a las disposiciones de la Ley </w:t>
      </w:r>
      <w:proofErr w:type="spellStart"/>
      <w:r w:rsidRPr="005D7CC5">
        <w:t>Nº</w:t>
      </w:r>
      <w:proofErr w:type="spellEnd"/>
      <w:r w:rsidRPr="005D7CC5">
        <w:t xml:space="preserve"> 5067/96, la cual regula la Evaluación del Impacto Ambiental y su contenido, operando como el filtro técnico indispensable para la materialización física de las inversiones.</w:t>
      </w:r>
    </w:p>
    <w:p w14:paraId="40CE8285" w14:textId="77777777" w:rsidR="005D7CC5" w:rsidRPr="005D7CC5" w:rsidRDefault="005D7CC5" w:rsidP="00A413AB">
      <w:pPr>
        <w:ind w:firstLine="708"/>
        <w:jc w:val="both"/>
      </w:pPr>
      <w:r w:rsidRPr="005D7CC5">
        <w:t>El organismo autárquico que ejerce el poder de policía en esta materia es el Instituto Correntino del Agua y del Ambiente (ICAA). El ICAA detenta la potestad de aprobar, rechazar o condicionar los proyectos de acuerdo a su sustentabilidad comprobable. El incumplimiento de este paso o el inicio de obras de manera clandestina puede derivar en la paralización total del complejo y la imposición de multas onerosas, además de imposibilitar la obtención de los beneficios impositivos que viabilizan el negocio.</w:t>
      </w:r>
    </w:p>
    <w:p w14:paraId="4D71F052" w14:textId="77777777" w:rsidR="005D7CC5" w:rsidRPr="005D7CC5" w:rsidRDefault="005D7CC5" w:rsidP="00A413AB">
      <w:pPr>
        <w:jc w:val="center"/>
        <w:rPr>
          <w:b/>
          <w:bCs/>
          <w:sz w:val="28"/>
          <w:szCs w:val="28"/>
        </w:rPr>
      </w:pPr>
      <w:r w:rsidRPr="005D7CC5">
        <w:rPr>
          <w:b/>
          <w:bCs/>
          <w:sz w:val="28"/>
          <w:szCs w:val="28"/>
        </w:rPr>
        <w:t>Fases del Trámite Ambiental ante el ICAA</w:t>
      </w:r>
    </w:p>
    <w:p w14:paraId="271D68FC" w14:textId="77777777" w:rsidR="005D7CC5" w:rsidRPr="005D7CC5" w:rsidRDefault="005D7CC5" w:rsidP="00A413AB">
      <w:pPr>
        <w:ind w:firstLine="360"/>
        <w:jc w:val="both"/>
      </w:pPr>
      <w:r w:rsidRPr="005D7CC5">
        <w:t>El camino hacia la obtención de la licencia social y ambiental en Corrientes sigue un procedimiento administrativo estrictamente pautado, el cual debe ser gestionado por profesionales especializados:</w:t>
      </w:r>
    </w:p>
    <w:p w14:paraId="2E51544E" w14:textId="77777777" w:rsidR="005D7CC5" w:rsidRPr="005D7CC5" w:rsidRDefault="005D7CC5" w:rsidP="005D7CC5">
      <w:pPr>
        <w:numPr>
          <w:ilvl w:val="0"/>
          <w:numId w:val="1"/>
        </w:numPr>
        <w:jc w:val="both"/>
      </w:pPr>
      <w:r w:rsidRPr="005D7CC5">
        <w:rPr>
          <w:b/>
          <w:bCs/>
        </w:rPr>
        <w:t>Aviso de Proyecto:</w:t>
      </w:r>
      <w:r w:rsidRPr="005D7CC5">
        <w:t xml:space="preserve"> La fase inicial requiere que la sociedad inversora presente un documento preliminar detallando las características macro del desarrollo. Este aviso explicita la ubicación georreferenciada, la demanda de recursos hídricos, el consumo energético proyectado, los efluentes esperados y los lineamientos generales de la arquitectura. La calidad de esta presentación es crucial, ya que define el tono de la relación institucional con la autoridad de aplicación.</w:t>
      </w:r>
    </w:p>
    <w:p w14:paraId="011BF621" w14:textId="77777777" w:rsidR="005D7CC5" w:rsidRPr="005D7CC5" w:rsidRDefault="005D7CC5" w:rsidP="005D7CC5">
      <w:pPr>
        <w:numPr>
          <w:ilvl w:val="0"/>
          <w:numId w:val="1"/>
        </w:numPr>
        <w:jc w:val="both"/>
      </w:pPr>
      <w:r w:rsidRPr="005D7CC5">
        <w:rPr>
          <w:b/>
          <w:bCs/>
        </w:rPr>
        <w:t>Determinación del Nivel de Complejidad Ambiental (NCA):</w:t>
      </w:r>
      <w:r w:rsidRPr="005D7CC5">
        <w:t xml:space="preserve"> Basándose en la información suministrada en el Aviso de Proyecto, el cuerpo de ingenieros y biólogos del ICAA aplica una fórmula polinómica estandarizada para determinar el Nivel de Complejidad Ambiental. Considerando que el proyecto abarca decenas de hectáreas, operará una laguna artificial multifuncional, contará con una planta de tratamiento de efluentes para más de un centenar de huéspedes, e interactuará directamente con el Río Paraná, es innegable que será categorizado en el estrato de mayor complejidad.</w:t>
      </w:r>
    </w:p>
    <w:p w14:paraId="28BDEF89" w14:textId="77777777" w:rsidR="005D7CC5" w:rsidRPr="005D7CC5" w:rsidRDefault="005D7CC5" w:rsidP="005D7CC5">
      <w:pPr>
        <w:numPr>
          <w:ilvl w:val="0"/>
          <w:numId w:val="1"/>
        </w:numPr>
        <w:jc w:val="both"/>
      </w:pPr>
      <w:r w:rsidRPr="005D7CC5">
        <w:rPr>
          <w:b/>
          <w:bCs/>
        </w:rPr>
        <w:t>Estudio de Impacto Ambiental (</w:t>
      </w:r>
      <w:proofErr w:type="spellStart"/>
      <w:r w:rsidRPr="005D7CC5">
        <w:rPr>
          <w:b/>
          <w:bCs/>
        </w:rPr>
        <w:t>EsIA</w:t>
      </w:r>
      <w:proofErr w:type="spellEnd"/>
      <w:r w:rsidRPr="005D7CC5">
        <w:rPr>
          <w:b/>
          <w:bCs/>
        </w:rPr>
        <w:t>):</w:t>
      </w:r>
      <w:r w:rsidRPr="005D7CC5">
        <w:t xml:space="preserve"> Al recaer en la máxima categoría, la empresa se verá obligada a contratar a consultoras interdisciplinarias inscriptas formalmente en el Registro Provincial de Consultores Ambientales (REPCA) para </w:t>
      </w:r>
      <w:r w:rsidRPr="005D7CC5">
        <w:lastRenderedPageBreak/>
        <w:t xml:space="preserve">redactar el </w:t>
      </w:r>
      <w:proofErr w:type="spellStart"/>
      <w:r w:rsidRPr="005D7CC5">
        <w:t>EsIA</w:t>
      </w:r>
      <w:proofErr w:type="spellEnd"/>
      <w:r w:rsidRPr="005D7CC5">
        <w:t xml:space="preserve">. Este extenso documento técnico debe predecir todos los impactos negativos durante la fase de construcción y operación, proponiendo medidas de mitigación concretas y un plan de monitoreo continuo. El </w:t>
      </w:r>
      <w:proofErr w:type="spellStart"/>
      <w:r w:rsidRPr="005D7CC5">
        <w:t>EsIA</w:t>
      </w:r>
      <w:proofErr w:type="spellEnd"/>
      <w:r w:rsidRPr="005D7CC5">
        <w:t xml:space="preserve"> debe armonizar obligatoriamente con otras legislaciones provinciales conexas, demostrando que no se incurrirá en desmontes prohibidos por la Ley </w:t>
      </w:r>
      <w:proofErr w:type="spellStart"/>
      <w:r w:rsidRPr="005D7CC5">
        <w:t>Nº</w:t>
      </w:r>
      <w:proofErr w:type="spellEnd"/>
      <w:r w:rsidRPr="005D7CC5">
        <w:t xml:space="preserve"> 5974/10 (Ordenamiento Territorial de Bosques Nativos) ni se afectará la dinámica hídrica natural.</w:t>
      </w:r>
    </w:p>
    <w:p w14:paraId="199B204F" w14:textId="77777777" w:rsidR="005D7CC5" w:rsidRPr="005D7CC5" w:rsidRDefault="005D7CC5" w:rsidP="005D7CC5">
      <w:pPr>
        <w:numPr>
          <w:ilvl w:val="0"/>
          <w:numId w:val="1"/>
        </w:numPr>
        <w:jc w:val="both"/>
      </w:pPr>
      <w:r w:rsidRPr="005D7CC5">
        <w:rPr>
          <w:b/>
          <w:bCs/>
        </w:rPr>
        <w:t>Audiencia Pública y Declaración Final:</w:t>
      </w:r>
      <w:r w:rsidRPr="005D7CC5">
        <w:t xml:space="preserve"> Dada la magnitud de la intervención, el Estado correntino se reserva la facultad de convocar al procedimiento de Audiencia Pública Ambiental, regido por el Decreto 876/05. En este foro, la sociedad civil, las </w:t>
      </w:r>
      <w:proofErr w:type="spellStart"/>
      <w:r w:rsidRPr="005D7CC5">
        <w:t>ONGs</w:t>
      </w:r>
      <w:proofErr w:type="spellEnd"/>
      <w:r w:rsidRPr="005D7CC5">
        <w:t xml:space="preserve"> y los ciudadanos expresan sus posiciones. Si bien sus resultados no son jurídicamente vinculantes, operan como un termómetro político y de legitimación social indispensable. Superada esta instancia de escrutinio, y habiéndose subsanado las observaciones técnicas, el ICAA emite la Declaración de Impacto Ambiental (DIA). La DIA es la resolución administrativa suprema que aprueba ambientalmente el proyecto y permite, finalmente, el inicio del cronograma de obra pesada y la inscripción en los registros de fomento.</w:t>
      </w:r>
    </w:p>
    <w:p w14:paraId="639981B2" w14:textId="77777777" w:rsidR="005D7CC5" w:rsidRPr="006017ED" w:rsidRDefault="005D7CC5" w:rsidP="006017ED">
      <w:pPr>
        <w:jc w:val="both"/>
      </w:pPr>
    </w:p>
    <w:p w14:paraId="4495A966" w14:textId="77777777" w:rsidR="006017ED" w:rsidRPr="006017ED" w:rsidRDefault="006017ED" w:rsidP="006017ED">
      <w:pPr>
        <w:jc w:val="both"/>
      </w:pPr>
    </w:p>
    <w:p w14:paraId="06285AAA" w14:textId="77777777" w:rsidR="006017ED" w:rsidRDefault="006017ED" w:rsidP="006017ED">
      <w:pPr>
        <w:jc w:val="both"/>
      </w:pPr>
    </w:p>
    <w:sectPr w:rsidR="006017ED">
      <w:headerReference w:type="default" r:id="rIdPrumoWatermark"/>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Prumo.xml><?xml version="1.0" encoding="utf-8"?>
<w:hdr xmlns:w="http://schemas.openxmlformats.org/wordprocessingml/2006/main" xmlns:v="urn:schemas-microsoft-com:vml" xmlns:o="urn:schemas-microsoft-com:office:office">
  <w:p>
    <w:pPr>
      <w:spacing w:before="0" w:after="0" w:line="1" w:lineRule="exact"/>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Prumo" o:spid="_x0000_s2049" type="#_x0000_t136" style="position:absolute;margin-left:0;margin-top:0;width:470pt;height:44pt;rotation:315;z-index:-251654144;mso-wrap-edited:f;mso-position-horizontal:center;mso-position-horizontal-relative:page;mso-position-vertical:center;mso-position-vertical-relative:page" o:allowincell="f" o:allowoverlap="t" fillcolor="#b9c2ba" stroked="f">
          <v:fill opacity="0.55"/>
          <v:textpath style="font-family:Arial;font-size:1pt;font-weight:bold" string="PRUMO · Consultora Turística"/>
          <o:lock v:ext="edit" text="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F4357E"/>
    <w:multiLevelType w:val="multilevel"/>
    <w:tmpl w:val="B0680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921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ED"/>
    <w:rsid w:val="00005879"/>
    <w:rsid w:val="001757E1"/>
    <w:rsid w:val="00410384"/>
    <w:rsid w:val="0047254E"/>
    <w:rsid w:val="00490A41"/>
    <w:rsid w:val="005D7CC5"/>
    <w:rsid w:val="006017ED"/>
    <w:rsid w:val="006444FB"/>
    <w:rsid w:val="007C02C4"/>
    <w:rsid w:val="00866AB1"/>
    <w:rsid w:val="00900C9C"/>
    <w:rsid w:val="009312C6"/>
    <w:rsid w:val="00A413AB"/>
    <w:rsid w:val="00B35CA5"/>
    <w:rsid w:val="00B579E2"/>
    <w:rsid w:val="00B845B2"/>
    <w:rsid w:val="00B90BD7"/>
    <w:rsid w:val="00CE71CD"/>
    <w:rsid w:val="00D03581"/>
    <w:rsid w:val="00D124E7"/>
    <w:rsid w:val="00D45F49"/>
    <w:rsid w:val="00DC5C9C"/>
    <w:rsid w:val="00E67B0F"/>
    <w:rsid w:val="00F04A4D"/>
    <w:rsid w:val="00F5114C"/>
    <w:rsid w:val="00FA5614"/>
    <w:rsid w:val="00FF1C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6378E"/>
  <w15:chartTrackingRefBased/>
  <w15:docId w15:val="{0A8D0554-1587-4C8A-84FB-F28750DC5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17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017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017E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017E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6017ED"/>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6017E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6017E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6017E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6017E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7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017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017ED"/>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017ED"/>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6017ED"/>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6017ED"/>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6017ED"/>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6017ED"/>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6017ED"/>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601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17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17E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17ED"/>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6017ED"/>
    <w:pPr>
      <w:spacing w:before="160"/>
      <w:jc w:val="center"/>
    </w:pPr>
    <w:rPr>
      <w:i/>
      <w:iCs/>
      <w:color w:val="404040" w:themeColor="text1" w:themeTint="BF"/>
    </w:rPr>
  </w:style>
  <w:style w:type="character" w:customStyle="1" w:styleId="CitaCar">
    <w:name w:val="Cita Car"/>
    <w:basedOn w:val="Fuentedeprrafopredeter"/>
    <w:link w:val="Cita"/>
    <w:uiPriority w:val="29"/>
    <w:rsid w:val="006017ED"/>
    <w:rPr>
      <w:i/>
      <w:iCs/>
      <w:color w:val="404040" w:themeColor="text1" w:themeTint="BF"/>
    </w:rPr>
  </w:style>
  <w:style w:type="paragraph" w:styleId="Prrafodelista">
    <w:name w:val="List Paragraph"/>
    <w:basedOn w:val="Normal"/>
    <w:uiPriority w:val="34"/>
    <w:qFormat/>
    <w:rsid w:val="006017ED"/>
    <w:pPr>
      <w:ind w:left="720"/>
      <w:contextualSpacing/>
    </w:pPr>
  </w:style>
  <w:style w:type="character" w:styleId="nfasisintenso">
    <w:name w:val="Intense Emphasis"/>
    <w:basedOn w:val="Fuentedeprrafopredeter"/>
    <w:uiPriority w:val="21"/>
    <w:qFormat/>
    <w:rsid w:val="006017ED"/>
    <w:rPr>
      <w:i/>
      <w:iCs/>
      <w:color w:val="2F5496" w:themeColor="accent1" w:themeShade="BF"/>
    </w:rPr>
  </w:style>
  <w:style w:type="paragraph" w:styleId="Citadestacada">
    <w:name w:val="Intense Quote"/>
    <w:basedOn w:val="Normal"/>
    <w:next w:val="Normal"/>
    <w:link w:val="CitadestacadaCar"/>
    <w:uiPriority w:val="30"/>
    <w:qFormat/>
    <w:rsid w:val="006017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017ED"/>
    <w:rPr>
      <w:i/>
      <w:iCs/>
      <w:color w:val="2F5496" w:themeColor="accent1" w:themeShade="BF"/>
    </w:rPr>
  </w:style>
  <w:style w:type="character" w:styleId="Referenciaintensa">
    <w:name w:val="Intense Reference"/>
    <w:basedOn w:val="Fuentedeprrafopredeter"/>
    <w:uiPriority w:val="32"/>
    <w:qFormat/>
    <w:rsid w:val="006017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PrumoWatermark" Type="http://schemas.openxmlformats.org/officeDocument/2006/relationships/header" Target="headerPrumo.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2307</Words>
  <Characters>13155</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 Sosa</dc:creator>
  <cp:keywords/>
  <dc:description/>
  <cp:lastModifiedBy>USUARIO</cp:lastModifiedBy>
  <cp:revision>2</cp:revision>
  <dcterms:created xsi:type="dcterms:W3CDTF">2026-10-22T09:16:00Z</dcterms:created>
  <dcterms:modified xsi:type="dcterms:W3CDTF">2026-10-22T13:29:00Z</dcterms:modified>
</cp:coreProperties>
</file>