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76" w:rsidRPr="00E25202" w:rsidRDefault="001F5476" w:rsidP="001F5476">
      <w:pPr>
        <w:rPr>
          <w:rFonts w:ascii="Times New Roman" w:hAnsi="Times New Roman" w:cs="Times New Roman"/>
          <w:sz w:val="24"/>
          <w:szCs w:val="24"/>
        </w:rPr>
      </w:pPr>
      <w:r w:rsidRPr="00E25202">
        <w:rPr>
          <w:rFonts w:ascii="Times New Roman" w:hAnsi="Times New Roman" w:cs="Times New Roman"/>
          <w:sz w:val="24"/>
          <w:szCs w:val="24"/>
        </w:rPr>
        <w:t>Abstract:</w:t>
      </w:r>
    </w:p>
    <w:p w:rsidR="001F5476" w:rsidRPr="00E25202" w:rsidRDefault="00E25202" w:rsidP="00E25202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5476" w:rsidRPr="00E25202">
        <w:rPr>
          <w:rFonts w:ascii="Times New Roman" w:hAnsi="Times New Roman" w:cs="Times New Roman"/>
          <w:sz w:val="24"/>
          <w:szCs w:val="24"/>
        </w:rPr>
        <w:t>Organisms of all kinds shed cells containing diagnostic DNA into the environment, which can be recovered and assigned to a taxon based upon its match to known sequences. Because DNA degrades under most ambient environmental conditions—the half-life of DNA in fresh- and saltwater is approximately 24-48 hours (</w:t>
      </w:r>
      <w:r w:rsidR="001F5476" w:rsidRPr="00E25202">
        <w:rPr>
          <w:rFonts w:ascii="Times New Roman" w:hAnsi="Times New Roman" w:cs="Times New Roman"/>
          <w:i/>
          <w:sz w:val="24"/>
          <w:szCs w:val="24"/>
        </w:rPr>
        <w:t>1</w:t>
      </w:r>
      <w:proofErr w:type="gramStart"/>
      <w:r w:rsidR="001F5476" w:rsidRPr="00E25202">
        <w:rPr>
          <w:rFonts w:ascii="Times New Roman" w:hAnsi="Times New Roman" w:cs="Times New Roman"/>
          <w:i/>
          <w:sz w:val="24"/>
          <w:szCs w:val="24"/>
        </w:rPr>
        <w:t>,2</w:t>
      </w:r>
      <w:proofErr w:type="gramEnd"/>
      <w:r w:rsidR="001F5476" w:rsidRPr="00E25202">
        <w:rPr>
          <w:rFonts w:ascii="Times New Roman" w:hAnsi="Times New Roman" w:cs="Times New Roman"/>
          <w:sz w:val="24"/>
          <w:szCs w:val="24"/>
        </w:rPr>
        <w:t>)—this environmental DNA (</w:t>
      </w:r>
      <w:proofErr w:type="spellStart"/>
      <w:r w:rsidR="001F5476"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r w:rsidR="001F5476" w:rsidRPr="00E25202">
        <w:rPr>
          <w:rFonts w:ascii="Times New Roman" w:hAnsi="Times New Roman" w:cs="Times New Roman"/>
          <w:sz w:val="24"/>
          <w:szCs w:val="24"/>
        </w:rPr>
        <w:t xml:space="preserve">) provides a snapshot of the species recently present in the sampled habitat. However, while it is widely accepted that DNA can be collected and identified from a range of environmental samples, connecting field collections of </w:t>
      </w:r>
      <w:proofErr w:type="spellStart"/>
      <w:proofErr w:type="gramStart"/>
      <w:r w:rsidR="001F5476"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proofErr w:type="gramEnd"/>
      <w:r w:rsidR="001F5476" w:rsidRPr="00E25202">
        <w:rPr>
          <w:rFonts w:ascii="Times New Roman" w:hAnsi="Times New Roman" w:cs="Times New Roman"/>
          <w:sz w:val="24"/>
          <w:szCs w:val="24"/>
        </w:rPr>
        <w:t xml:space="preserve"> with abundance surveys remains largely unexplored.</w:t>
      </w:r>
    </w:p>
    <w:p w:rsidR="00E25202" w:rsidRPr="00E25202" w:rsidRDefault="00E25202" w:rsidP="00E25202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E25202">
        <w:rPr>
          <w:rFonts w:ascii="Times New Roman" w:hAnsi="Times New Roman" w:cs="Times New Roman"/>
          <w:sz w:val="24"/>
          <w:szCs w:val="24"/>
        </w:rPr>
        <w:t xml:space="preserve">Here, we propose to develop </w:t>
      </w:r>
      <w:proofErr w:type="spellStart"/>
      <w:proofErr w:type="gramStart"/>
      <w:r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proofErr w:type="gramEnd"/>
      <w:r w:rsidRPr="00E25202">
        <w:rPr>
          <w:rFonts w:ascii="Times New Roman" w:hAnsi="Times New Roman" w:cs="Times New Roman"/>
          <w:sz w:val="24"/>
          <w:szCs w:val="24"/>
        </w:rPr>
        <w:t xml:space="preserve"> survey methods to quantify fish communities (with a focus on salmon, herring, and smelt species) in a nearshore estuarine habitat in Puget Sound.  To compare the efficacy of </w:t>
      </w:r>
      <w:proofErr w:type="spellStart"/>
      <w:r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r w:rsidRPr="00E25202">
        <w:rPr>
          <w:rFonts w:ascii="Times New Roman" w:hAnsi="Times New Roman" w:cs="Times New Roman"/>
          <w:sz w:val="24"/>
          <w:szCs w:val="24"/>
        </w:rPr>
        <w:t xml:space="preserve"> and traditional methods, we will collect water samples in parallel with collections made via three traditional net sampling methods, targeting nearshore fish communities that provide a range of spatial sampling scales (from meters to 100s of meters). We will use both quantitative PCR (qPCR) and massively parallel DNA sequencing technologies to provide </w:t>
      </w:r>
      <w:proofErr w:type="spellStart"/>
      <w:proofErr w:type="gramStart"/>
      <w:r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proofErr w:type="gramEnd"/>
      <w:r w:rsidRPr="00E25202">
        <w:rPr>
          <w:rFonts w:ascii="Times New Roman" w:hAnsi="Times New Roman" w:cs="Times New Roman"/>
          <w:sz w:val="24"/>
          <w:szCs w:val="24"/>
        </w:rPr>
        <w:t xml:space="preserve"> data. We will then apply a newly developed statistical framework to provide field estimates of the relationship between species abundance and </w:t>
      </w:r>
      <w:proofErr w:type="spellStart"/>
      <w:proofErr w:type="gramStart"/>
      <w:r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proofErr w:type="gramEnd"/>
      <w:r w:rsidRPr="00E25202">
        <w:rPr>
          <w:rFonts w:ascii="Times New Roman" w:hAnsi="Times New Roman" w:cs="Times New Roman"/>
          <w:sz w:val="24"/>
          <w:szCs w:val="24"/>
        </w:rPr>
        <w:t xml:space="preserve">. Our replicated sampling design—using three field methods at three spatial scales—provides an opportunity to understand the appropriate spatial scale for </w:t>
      </w:r>
      <w:proofErr w:type="spellStart"/>
      <w:proofErr w:type="gramStart"/>
      <w:r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proofErr w:type="gramEnd"/>
      <w:r w:rsidRPr="00E25202">
        <w:rPr>
          <w:rFonts w:ascii="Times New Roman" w:hAnsi="Times New Roman" w:cs="Times New Roman"/>
          <w:sz w:val="24"/>
          <w:szCs w:val="24"/>
        </w:rPr>
        <w:t xml:space="preserve"> sampling, and the potential value and pitfalls of </w:t>
      </w:r>
      <w:proofErr w:type="spellStart"/>
      <w:r w:rsidRPr="00E25202">
        <w:rPr>
          <w:rFonts w:ascii="Times New Roman" w:hAnsi="Times New Roman" w:cs="Times New Roman"/>
          <w:sz w:val="24"/>
          <w:szCs w:val="24"/>
        </w:rPr>
        <w:t>eDNA</w:t>
      </w:r>
      <w:proofErr w:type="spellEnd"/>
      <w:r w:rsidRPr="00E25202">
        <w:rPr>
          <w:rFonts w:ascii="Times New Roman" w:hAnsi="Times New Roman" w:cs="Times New Roman"/>
          <w:sz w:val="24"/>
          <w:szCs w:val="24"/>
        </w:rPr>
        <w:t xml:space="preserve"> surveys for understanding patterns of fish abundance.</w:t>
      </w:r>
    </w:p>
    <w:p w:rsidR="001F5476" w:rsidRPr="00E25202" w:rsidRDefault="001F5476">
      <w:pPr>
        <w:rPr>
          <w:rFonts w:ascii="Times New Roman" w:hAnsi="Times New Roman" w:cs="Times New Roman"/>
          <w:sz w:val="24"/>
          <w:szCs w:val="24"/>
        </w:rPr>
      </w:pPr>
    </w:p>
    <w:sectPr w:rsidR="001F5476" w:rsidRPr="00E25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76"/>
    <w:rsid w:val="001F5476"/>
    <w:rsid w:val="00274390"/>
    <w:rsid w:val="008856C3"/>
    <w:rsid w:val="00E2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School of Marine and Environmental Affairs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Suanty Kaghan</dc:creator>
  <cp:lastModifiedBy>Suanty Kaghan</cp:lastModifiedBy>
  <cp:revision>2</cp:revision>
  <dcterms:created xsi:type="dcterms:W3CDTF">2016-04-11T18:53:00Z</dcterms:created>
  <dcterms:modified xsi:type="dcterms:W3CDTF">2016-04-11T18:59:00Z</dcterms:modified>
</cp:coreProperties>
</file>