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A56DB"/>
          <w:sz w:val="56"/>
          <w:szCs w:val="56"/>
        </w:rPr>
        <w:t xml:space="preserve">AUDITFLOWS</w:t>
      </w:r>
    </w:p>
    <w:p>
      <w:pPr>
        <w:spacing w:after="100"/>
        <w:jc w:val="center"/>
      </w:pPr>
      <w:r>
        <w:rPr>
          <w:rFonts w:ascii="Arial" w:cs="Arial" w:eastAsia="Arial" w:hAnsi="Arial"/>
          <w:color w:val="6B7280"/>
          <w:sz w:val="32"/>
          <w:szCs w:val="32"/>
        </w:rPr>
        <w:t xml:space="preserve">Go-to-Market Strategy &amp; Marketing Plan</w:t>
      </w:r>
    </w:p>
    <w:p>
      <w:pPr>
        <w:pBdr>
          <w:bottom w:val="single" w:color="1A56DB" w:sz="6" w:space="12"/>
        </w:pBdr>
        <w:spacing w:after="600"/>
        <w:jc w:val="center"/>
      </w:pPr>
      <w:r>
        <w:rPr>
          <w:rFonts w:ascii="Arial" w:cs="Arial" w:eastAsia="Arial" w:hAnsi="Arial"/>
          <w:i/>
          <w:iCs/>
          <w:color w:val="374151"/>
          <w:sz w:val="26"/>
          <w:szCs w:val="26"/>
        </w:rPr>
        <w:t xml:space="preserve">From Zero to First 100 Customers</w:t>
      </w:r>
    </w:p>
    <w:p>
      <w:pPr>
        <w:spacing w:before="600"/>
      </w:pPr>
    </w:p>
    <w:p>
      <w:pPr>
        <w:jc w:val="center"/>
      </w:pPr>
      <w:r>
        <w:rPr>
          <w:color w:val="6B7280"/>
          <w:sz w:val="22"/>
          <w:szCs w:val="22"/>
        </w:rPr>
        <w:t xml:space="preserve">Prepared by Investiture Labs</w:t>
      </w:r>
    </w:p>
    <w:p>
      <w:pPr>
        <w:jc w:val="center"/>
      </w:pPr>
      <w:r>
        <w:rPr>
          <w:color w:val="6B7280"/>
          <w:sz w:val="22"/>
          <w:szCs w:val="22"/>
        </w:rPr>
        <w:t xml:space="preserve">March 2026</w:t>
      </w:r>
    </w:p>
    <w:p>
      <w:r>
        <w:br w:type="page"/>
      </w:r>
    </w:p>
    <w:p>
      <w:pPr>
        <w:sectPr>
          <w:pgSz w:w="12240" w:h="15840" w:orient="portrait"/>
          <w:pgMar w:top="1440" w:right="1440" w:bottom="1440" w:left="1440" w:header="708" w:footer="708" w:gutter="0"/>
          <w:pgNumType/>
          <w:docGrid w:linePitch="360"/>
        </w:sectPr>
      </w:pPr>
    </w:p>
    <w:p>
      <w:pPr>
        <w:pStyle w:val="Heading1"/>
        <w:spacing w:after="200" w:before="300"/>
      </w:pPr>
      <w:r>
        <w:t xml:space="preserve">1. Positioning &amp; Core Message</w:t>
      </w:r>
    </w:p>
    <w:p>
      <w:pPr>
        <w:spacing w:after="160" w:line="276"/>
      </w:pPr>
      <w:r>
        <w:t xml:space="preserve">Before spending a minute on marketing, you need a message that makes the right person stop scrolling. Here’s your positioning framework.</w:t>
      </w:r>
    </w:p>
    <w:p>
      <w:pPr>
        <w:pStyle w:val="Heading2"/>
        <w:spacing w:after="200" w:before="300"/>
      </w:pPr>
      <w:r>
        <w:t xml:space="preserve">The One-Liner</w:t>
      </w:r>
    </w:p>
    <w:p>
      <w:pPr>
        <w:shd w:fill="EFF6FF" w:val="clear"/>
        <w:spacing w:after="200" w:before="100"/>
        <w:ind w:left="360" w:right="360"/>
      </w:pPr>
      <w:r>
        <w:rPr>
          <w:i/>
          <w:iCs/>
          <w:color w:val="1E40AF"/>
          <w:sz w:val="24"/>
          <w:szCs w:val="24"/>
        </w:rPr>
        <w:t xml:space="preserve">“AuditFlows replaces clunky spreadsheet audits with a focused, flashcard-style flow that your team can actually finish — then tracks every score, trend, and follow-up so nothing slips.”</w:t>
      </w:r>
    </w:p>
    <w:p>
      <w:pPr>
        <w:pStyle w:val="Heading2"/>
        <w:spacing w:after="200" w:before="300"/>
      </w:pPr>
      <w:r>
        <w:t xml:space="preserve">Who It’s For (Ideal Customer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0D0" w:sz="1"/>
              <w:left w:val="single" w:color="D0D0D0" w:sz="1"/>
              <w:bottom w:val="single" w:color="D0D0D0" w:sz="1"/>
              <w:right w:val="single" w:color="D0D0D0"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6560"/>
            <w:tcBorders>
              <w:top w:val="single" w:color="D0D0D0" w:sz="1"/>
              <w:left w:val="single" w:color="D0D0D0" w:sz="1"/>
              <w:bottom w:val="single" w:color="D0D0D0" w:sz="1"/>
              <w:right w:val="single" w:color="D0D0D0"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D0D0D0" w:sz="1"/>
              <w:left w:val="single" w:color="D0D0D0" w:sz="1"/>
              <w:bottom w:val="single" w:color="D0D0D0" w:sz="1"/>
              <w:right w:val="single" w:color="D0D0D0" w:sz="1"/>
            </w:tcBorders>
            <w:shd w:fill="EFF6FF" w:val="clear"/>
            <w:tcMar>
              <w:top w:type="dxa" w:w="80"/>
              <w:left w:type="dxa" w:w="120"/>
              <w:bottom w:type="dxa" w:w="80"/>
              <w:right w:type="dxa" w:w="120"/>
            </w:tcMar>
          </w:tcPr>
          <w:p>
            <w:r>
              <w:rPr>
                <w:rFonts w:ascii="Arial" w:cs="Arial" w:eastAsia="Arial" w:hAnsi="Arial"/>
                <w:sz w:val="20"/>
                <w:szCs w:val="20"/>
              </w:rPr>
              <w:t xml:space="preserve">Company Size</w:t>
            </w:r>
          </w:p>
        </w:tc>
        <w:tc>
          <w:tcPr>
            <w:tcW w:type="dxa" w:w="6560"/>
            <w:tcBorders>
              <w:top w:val="single" w:color="D0D0D0" w:sz="1"/>
              <w:left w:val="single" w:color="D0D0D0" w:sz="1"/>
              <w:bottom w:val="single" w:color="D0D0D0" w:sz="1"/>
              <w:right w:val="single" w:color="D0D0D0" w:sz="1"/>
            </w:tcBorders>
            <w:shd w:fill="EFF6FF" w:val="clear"/>
            <w:tcMar>
              <w:top w:type="dxa" w:w="80"/>
              <w:left w:type="dxa" w:w="120"/>
              <w:bottom w:type="dxa" w:w="80"/>
              <w:right w:type="dxa" w:w="120"/>
            </w:tcMar>
          </w:tcPr>
          <w:p>
            <w:r>
              <w:rPr>
                <w:rFonts w:ascii="Arial" w:cs="Arial" w:eastAsia="Arial" w:hAnsi="Arial"/>
                <w:sz w:val="20"/>
                <w:szCs w:val="20"/>
              </w:rPr>
              <w:t xml:space="preserve">20–500 employees (compliance matters but no budget for AuditBoard-level enterprise software)</w:t>
            </w:r>
          </w:p>
        </w:tc>
      </w:tr>
      <w:tr>
        <w:tc>
          <w:tcPr>
            <w:tcW w:type="dxa" w:w="2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Industries</w:t>
            </w:r>
          </w:p>
        </w:tc>
        <w:tc>
          <w:tcPr>
            <w:tcW w:type="dxa" w:w="65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Healthcare clinics, manufacturing, food service/restaurants, retail chains, logistics, fintech, franchises, property management</w:t>
            </w:r>
          </w:p>
        </w:tc>
      </w:tr>
      <w:tr>
        <w:tc>
          <w:tcPr>
            <w:tcW w:type="dxa" w:w="2800"/>
            <w:tcBorders>
              <w:top w:val="single" w:color="D0D0D0" w:sz="1"/>
              <w:left w:val="single" w:color="D0D0D0" w:sz="1"/>
              <w:bottom w:val="single" w:color="D0D0D0" w:sz="1"/>
              <w:right w:val="single" w:color="D0D0D0" w:sz="1"/>
            </w:tcBorders>
            <w:shd w:fill="EFF6FF" w:val="clear"/>
            <w:tcMar>
              <w:top w:type="dxa" w:w="80"/>
              <w:left w:type="dxa" w:w="120"/>
              <w:bottom w:type="dxa" w:w="80"/>
              <w:right w:type="dxa" w:w="120"/>
            </w:tcMar>
          </w:tcPr>
          <w:p>
            <w:r>
              <w:rPr>
                <w:rFonts w:ascii="Arial" w:cs="Arial" w:eastAsia="Arial" w:hAnsi="Arial"/>
                <w:sz w:val="20"/>
                <w:szCs w:val="20"/>
              </w:rPr>
              <w:t xml:space="preserve">Decision Maker</w:t>
            </w:r>
          </w:p>
        </w:tc>
        <w:tc>
          <w:tcPr>
            <w:tcW w:type="dxa" w:w="6560"/>
            <w:tcBorders>
              <w:top w:val="single" w:color="D0D0D0" w:sz="1"/>
              <w:left w:val="single" w:color="D0D0D0" w:sz="1"/>
              <w:bottom w:val="single" w:color="D0D0D0" w:sz="1"/>
              <w:right w:val="single" w:color="D0D0D0" w:sz="1"/>
            </w:tcBorders>
            <w:shd w:fill="EFF6FF" w:val="clear"/>
            <w:tcMar>
              <w:top w:type="dxa" w:w="80"/>
              <w:left w:type="dxa" w:w="120"/>
              <w:bottom w:type="dxa" w:w="80"/>
              <w:right w:type="dxa" w:w="120"/>
            </w:tcMar>
          </w:tcPr>
          <w:p>
            <w:r>
              <w:rPr>
                <w:rFonts w:ascii="Arial" w:cs="Arial" w:eastAsia="Arial" w:hAnsi="Arial"/>
                <w:sz w:val="20"/>
                <w:szCs w:val="20"/>
              </w:rPr>
              <w:t xml:space="preserve">Compliance Manager, QA Director, Operations Manager, VP of Operations, or the owner at smaller companies</w:t>
            </w:r>
          </w:p>
        </w:tc>
      </w:tr>
      <w:tr>
        <w:tc>
          <w:tcPr>
            <w:tcW w:type="dxa" w:w="2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Current Pain</w:t>
            </w:r>
          </w:p>
        </w:tc>
        <w:tc>
          <w:tcPr>
            <w:tcW w:type="dxa" w:w="65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Running audits in Excel/Google Sheets, losing track of follow-ups, no historical trending, inconsistent scoring across auditors</w:t>
            </w:r>
          </w:p>
        </w:tc>
      </w:tr>
      <w:tr>
        <w:tc>
          <w:tcPr>
            <w:tcW w:type="dxa" w:w="2800"/>
            <w:tcBorders>
              <w:top w:val="single" w:color="D0D0D0" w:sz="1"/>
              <w:left w:val="single" w:color="D0D0D0" w:sz="1"/>
              <w:bottom w:val="single" w:color="D0D0D0" w:sz="1"/>
              <w:right w:val="single" w:color="D0D0D0" w:sz="1"/>
            </w:tcBorders>
            <w:shd w:fill="EFF6FF" w:val="clear"/>
            <w:tcMar>
              <w:top w:type="dxa" w:w="80"/>
              <w:left w:type="dxa" w:w="120"/>
              <w:bottom w:type="dxa" w:w="80"/>
              <w:right w:type="dxa" w:w="120"/>
            </w:tcMar>
          </w:tcPr>
          <w:p>
            <w:r>
              <w:rPr>
                <w:rFonts w:ascii="Arial" w:cs="Arial" w:eastAsia="Arial" w:hAnsi="Arial"/>
                <w:sz w:val="20"/>
                <w:szCs w:val="20"/>
              </w:rPr>
              <w:t xml:space="preserve">Budget Authority</w:t>
            </w:r>
          </w:p>
        </w:tc>
        <w:tc>
          <w:tcPr>
            <w:tcW w:type="dxa" w:w="6560"/>
            <w:tcBorders>
              <w:top w:val="single" w:color="D0D0D0" w:sz="1"/>
              <w:left w:val="single" w:color="D0D0D0" w:sz="1"/>
              <w:bottom w:val="single" w:color="D0D0D0" w:sz="1"/>
              <w:right w:val="single" w:color="D0D0D0" w:sz="1"/>
            </w:tcBorders>
            <w:shd w:fill="EFF6FF" w:val="clear"/>
            <w:tcMar>
              <w:top w:type="dxa" w:w="80"/>
              <w:left w:type="dxa" w:w="120"/>
              <w:bottom w:type="dxa" w:w="80"/>
              <w:right w:type="dxa" w:w="120"/>
            </w:tcMar>
          </w:tcPr>
          <w:p>
            <w:r>
              <w:rPr>
                <w:rFonts w:ascii="Arial" w:cs="Arial" w:eastAsia="Arial" w:hAnsi="Arial"/>
                <w:sz w:val="20"/>
                <w:szCs w:val="20"/>
              </w:rPr>
              <w:t xml:space="preserve">Can approve $87–$300/month without board-level sign-off</w:t>
            </w:r>
          </w:p>
        </w:tc>
      </w:tr>
    </w:tbl>
    <w:p>
      <w:pPr>
        <w:pStyle w:val="Heading2"/>
        <w:spacing w:after="200" w:before="300"/>
      </w:pPr>
      <w:r>
        <w:t xml:space="preserve">Key Differentiators</w:t>
      </w:r>
    </w:p>
    <w:p>
      <w:pPr>
        <w:pStyle w:val="ListParagraph"/>
        <w:numPr>
          <w:ilvl w:val="0"/>
          <w:numId w:val="2"/>
        </w:numPr>
        <w:spacing w:after="80" w:line="276"/>
      </w:pPr>
      <w:r>
        <w:t xml:space="preserve">Flashcard-style audit UX — one question at a time, keyboard shortcuts, zero distractions. Auditors finish faster and more consistently.</w:t>
      </w:r>
    </w:p>
    <w:p>
      <w:pPr>
        <w:pStyle w:val="ListParagraph"/>
        <w:numPr>
          <w:ilvl w:val="0"/>
          <w:numId w:val="2"/>
        </w:numPr>
        <w:spacing w:after="80" w:line="276"/>
      </w:pPr>
      <w:r>
        <w:t xml:space="preserve">Real-time auto-save and resume — walk away mid-audit and pick up exactly where you left off. No lost work.</w:t>
      </w:r>
    </w:p>
    <w:p>
      <w:pPr>
        <w:pStyle w:val="ListParagraph"/>
        <w:numPr>
          <w:ilvl w:val="0"/>
          <w:numId w:val="2"/>
        </w:numPr>
        <w:spacing w:after="80" w:line="276"/>
      </w:pPr>
      <w:r>
        <w:t xml:space="preserve">Question snapshots — audit results freeze the criteria at the time of audit, so historical records are always accurate even as standards change.</w:t>
      </w:r>
    </w:p>
    <w:p>
      <w:pPr>
        <w:pStyle w:val="ListParagraph"/>
        <w:numPr>
          <w:ilvl w:val="0"/>
          <w:numId w:val="2"/>
        </w:numPr>
        <w:spacing w:after="80" w:line="276"/>
      </w:pPr>
      <w:r>
        <w:t xml:space="preserve">Built-in analytics — department trends, radar charts, score distributions, and CSV exports without needing a separate BI tool.</w:t>
      </w:r>
    </w:p>
    <w:p>
      <w:pPr>
        <w:pStyle w:val="ListParagraph"/>
        <w:numPr>
          <w:ilvl w:val="0"/>
          <w:numId w:val="2"/>
        </w:numPr>
        <w:spacing w:after="80" w:line="276"/>
      </w:pPr>
      <w:r>
        <w:t xml:space="preserve">Simple team pricing — $29/seat/month with no enterprise sales cycle. Start a free trial in 2 minutes.</w:t>
      </w:r>
    </w:p>
    <w:p>
      <w:pPr>
        <w:pStyle w:val="Heading2"/>
        <w:spacing w:after="200" w:before="300"/>
      </w:pPr>
      <w:r>
        <w:t xml:space="preserve">What You’re Replacing</w:t>
      </w:r>
    </w:p>
    <w:p>
      <w:pPr>
        <w:spacing w:after="160" w:line="276"/>
      </w:pPr>
      <w:r>
        <w:t xml:space="preserve">Your competition is not mainly other audit software (those target enterprises at $10K+/year). Your real competition is:</w:t>
      </w:r>
    </w:p>
    <w:p>
      <w:pPr>
        <w:pStyle w:val="ListParagraph"/>
        <w:numPr>
          <w:ilvl w:val="0"/>
          <w:numId w:val="2"/>
        </w:numPr>
        <w:spacing w:after="80" w:line="276"/>
      </w:pPr>
      <w:r>
        <w:t xml:space="preserve">Excel and Google Sheets — the “good enough” default that everyone hates but nobody replaces</w:t>
      </w:r>
    </w:p>
    <w:p>
      <w:pPr>
        <w:pStyle w:val="ListParagraph"/>
        <w:numPr>
          <w:ilvl w:val="0"/>
          <w:numId w:val="2"/>
        </w:numPr>
        <w:spacing w:after="80" w:line="276"/>
      </w:pPr>
      <w:r>
        <w:t xml:space="preserve">Paper checklists and clipboards — still shockingly common in restaurants, clinics, and warehouses</w:t>
      </w:r>
    </w:p>
    <w:p>
      <w:pPr>
        <w:pStyle w:val="ListParagraph"/>
        <w:numPr>
          <w:ilvl w:val="0"/>
          <w:numId w:val="2"/>
        </w:numPr>
        <w:spacing w:after="80" w:line="276"/>
      </w:pPr>
      <w:r>
        <w:t xml:space="preserve">Generic project management tools — Asana/Monday.com bent into an audit-tracking shape</w:t>
      </w:r>
    </w:p>
    <w:p>
      <w:pPr>
        <w:spacing w:after="160" w:line="276"/>
      </w:pPr>
      <w:r>
        <w:t xml:space="preserve">Position AuditFlows as the upgrade FROM spreadsheets, not as a competitor TO enterprise audit platforms.</w:t>
      </w:r>
    </w:p>
    <w:p>
      <w:pPr>
        <w:pBdr>
          <w:bottom w:val="single" w:color="DBEAFE" w:sz="4" w:space="8"/>
        </w:pBdr>
        <w:spacing w:after="200" w:before="200"/>
      </w:pPr>
    </w:p>
    <w:p>
      <w:r>
        <w:br w:type="page"/>
      </w:r>
    </w:p>
    <w:p>
      <w:pPr>
        <w:pStyle w:val="Heading1"/>
        <w:spacing w:after="200" w:before="300"/>
      </w:pPr>
      <w:r>
        <w:t xml:space="preserve">2. Go-to-Market Channels ($0 Budget Playbook)</w:t>
      </w:r>
    </w:p>
    <w:p>
      <w:pPr>
        <w:spacing w:after="160" w:line="276"/>
      </w:pPr>
      <w:r>
        <w:t xml:space="preserve">Every channel below is free or near-free. They’re ordered by expected impact-to-effort ratio for your stage.</w:t>
      </w:r>
    </w:p>
    <w:p>
      <w:pPr>
        <w:pStyle w:val="Heading2"/>
        <w:spacing w:after="200" w:before="300"/>
      </w:pPr>
      <w:r>
        <w:t xml:space="preserve">Channel 1: LinkedIn Organic (Highest Priority)</w:t>
      </w:r>
    </w:p>
    <w:p>
      <w:pPr>
        <w:spacing w:after="160" w:line="276"/>
      </w:pPr>
      <w:r>
        <w:t xml:space="preserve">Your buyers — compliance managers, QA directors, ops leaders — are on LinkedIn daily. This is where you’ll get your first 20 customers.</w:t>
      </w:r>
    </w:p>
    <w:p>
      <w:pPr>
        <w:pStyle w:val="Heading3"/>
        <w:spacing w:after="200" w:before="300"/>
      </w:pPr>
      <w:r>
        <w:t xml:space="preserve">What to Post (3–4x per week)</w:t>
      </w:r>
    </w:p>
    <w:p>
      <w:pPr>
        <w:pStyle w:val="ListParagraph"/>
        <w:numPr>
          <w:ilvl w:val="0"/>
          <w:numId w:val="3"/>
        </w:numPr>
        <w:spacing w:after="80" w:line="276"/>
      </w:pPr>
      <w:r>
        <w:t xml:space="preserve">Pain-point posts — Short stories about real audit nightmares (lost spreadsheets, inconsistent scores, failed regulatory visits). End with “this is why I built AuditFlows.”</w:t>
      </w:r>
    </w:p>
    <w:p>
      <w:pPr>
        <w:pStyle w:val="ListParagraph"/>
        <w:numPr>
          <w:ilvl w:val="0"/>
          <w:numId w:val="3"/>
        </w:numPr>
        <w:spacing w:after="80" w:line="276"/>
      </w:pPr>
      <w:r>
        <w:t xml:space="preserve">Before/after posts — Show the contrast between a messy spreadsheet audit and AuditFlows’ clean UI. Screenshots work great.</w:t>
      </w:r>
    </w:p>
    <w:p>
      <w:pPr>
        <w:pStyle w:val="ListParagraph"/>
        <w:numPr>
          <w:ilvl w:val="0"/>
          <w:numId w:val="3"/>
        </w:numPr>
        <w:spacing w:after="80" w:line="276"/>
      </w:pPr>
      <w:r>
        <w:t xml:space="preserve">Feature spotlights — 30-second screen recording showing one feature (flashcard flow, analytics dashboard, CSV import). Keep it tight.</w:t>
      </w:r>
    </w:p>
    <w:p>
      <w:pPr>
        <w:pStyle w:val="ListParagraph"/>
        <w:numPr>
          <w:ilvl w:val="0"/>
          <w:numId w:val="3"/>
        </w:numPr>
        <w:spacing w:after="80" w:line="276"/>
      </w:pPr>
      <w:r>
        <w:t xml:space="preserve">Social proof — Once beta users give feedback, screenshot it (with permission) and post it.</w:t>
      </w:r>
    </w:p>
    <w:p>
      <w:pPr>
        <w:pStyle w:val="Heading3"/>
        <w:spacing w:after="200" w:before="300"/>
      </w:pPr>
      <w:r>
        <w:t xml:space="preserve">Direct Outreach (30 min/day)</w:t>
      </w:r>
    </w:p>
    <w:p>
      <w:pPr>
        <w:spacing w:after="160" w:line="276"/>
      </w:pPr>
      <w:r>
        <w:t xml:space="preserve">Search LinkedIn for titles like “Compliance Manager,” “Quality Assurance Director,” “Operations Manager” at companies with 20–500 employees. Send a connection request with a short note (template below). Aim for 15–20 new connections per day.</w:t>
      </w:r>
    </w:p>
    <w:p>
      <w:pPr>
        <w:pStyle w:val="Heading2"/>
        <w:spacing w:after="200" w:before="300"/>
      </w:pPr>
      <w:r>
        <w:t xml:space="preserve">Channel 2: Community Seeding</w:t>
      </w:r>
    </w:p>
    <w:p>
      <w:pPr>
        <w:spacing w:after="160" w:line="276"/>
      </w:pPr>
      <w:r>
        <w:t xml:space="preserve">Go where your buyers already ask questions and contribute genuine value. Don’t pitch — help, then mention AuditFlows when directly relevant.</w:t>
      </w:r>
    </w:p>
    <w:p>
      <w:pPr>
        <w:pStyle w:val="ListParagraph"/>
        <w:numPr>
          <w:ilvl w:val="0"/>
          <w:numId w:val="2"/>
        </w:numPr>
        <w:spacing w:after="80" w:line="276"/>
      </w:pPr>
      <w:r>
        <w:t xml:space="preserve">Reddit: r/compliance, r/QualityManagement, r/InternalAudit, r/smallbusiness, r/SaaS</w:t>
      </w:r>
    </w:p>
    <w:p>
      <w:pPr>
        <w:pStyle w:val="ListParagraph"/>
        <w:numPr>
          <w:ilvl w:val="0"/>
          <w:numId w:val="2"/>
        </w:numPr>
        <w:spacing w:after="80" w:line="276"/>
      </w:pPr>
      <w:r>
        <w:t xml:space="preserve">Facebook Groups: search for “compliance professionals,” “restaurant managers,” “healthcare compliance”</w:t>
      </w:r>
    </w:p>
    <w:p>
      <w:pPr>
        <w:pStyle w:val="ListParagraph"/>
        <w:numPr>
          <w:ilvl w:val="0"/>
          <w:numId w:val="2"/>
        </w:numPr>
        <w:spacing w:after="80" w:line="276"/>
      </w:pPr>
      <w:r>
        <w:t xml:space="preserve">Slack communities: Compliance.ai, Operations Slack groups, local business owner groups</w:t>
      </w:r>
    </w:p>
    <w:p>
      <w:pPr>
        <w:pStyle w:val="ListParagraph"/>
        <w:numPr>
          <w:ilvl w:val="0"/>
          <w:numId w:val="2"/>
        </w:numPr>
        <w:spacing w:after="80" w:line="276"/>
      </w:pPr>
      <w:r>
        <w:t xml:space="preserve">Quora: Answer questions about audit processes, compliance checklists, quality management</w:t>
      </w:r>
    </w:p>
    <w:p>
      <w:pPr>
        <w:pStyle w:val="Heading2"/>
        <w:spacing w:after="200" w:before="300"/>
      </w:pPr>
      <w:r>
        <w:t xml:space="preserve">Channel 3: Content Marketing / SEO</w:t>
      </w:r>
    </w:p>
    <w:p>
      <w:pPr>
        <w:spacing w:after="160" w:line="276"/>
      </w:pPr>
      <w:r>
        <w:t xml:space="preserve">This is a slow burn but compounds. Start a blog on audit-flows.com targeting keywords your buyers search for.</w:t>
      </w:r>
    </w:p>
    <w:p>
      <w:pPr>
        <w:pStyle w:val="Heading3"/>
        <w:spacing w:after="200" w:before="300"/>
      </w:pPr>
      <w:r>
        <w:t xml:space="preserve">Starter Articles (publish 1 per week)</w:t>
      </w:r>
    </w:p>
    <w:p>
      <w:pPr>
        <w:pStyle w:val="ListParagraph"/>
        <w:numPr>
          <w:ilvl w:val="0"/>
          <w:numId w:val="4"/>
        </w:numPr>
        <w:spacing w:after="80" w:line="276"/>
      </w:pPr>
      <w:r>
        <w:t xml:space="preserve">“How to Run a Compliance Audit Without Losing Your Mind”</w:t>
      </w:r>
    </w:p>
    <w:p>
      <w:pPr>
        <w:pStyle w:val="ListParagraph"/>
        <w:numPr>
          <w:ilvl w:val="0"/>
          <w:numId w:val="4"/>
        </w:numPr>
        <w:spacing w:after="80" w:line="276"/>
      </w:pPr>
      <w:r>
        <w:t xml:space="preserve">“The Hidden Cost of Spreadsheet Audits”</w:t>
      </w:r>
    </w:p>
    <w:p>
      <w:pPr>
        <w:pStyle w:val="ListParagraph"/>
        <w:numPr>
          <w:ilvl w:val="0"/>
          <w:numId w:val="4"/>
        </w:numPr>
        <w:spacing w:after="80" w:line="276"/>
      </w:pPr>
      <w:r>
        <w:t xml:space="preserve">“5 Signs Your Audit Process Is Broken (and How to Fix It)”</w:t>
      </w:r>
    </w:p>
    <w:p>
      <w:pPr>
        <w:pStyle w:val="ListParagraph"/>
        <w:numPr>
          <w:ilvl w:val="0"/>
          <w:numId w:val="4"/>
        </w:numPr>
        <w:spacing w:after="80" w:line="276"/>
      </w:pPr>
      <w:r>
        <w:t xml:space="preserve">“Internal Audit Checklist Template [Free Download]” — gate the template behind an email signup</w:t>
      </w:r>
    </w:p>
    <w:p>
      <w:pPr>
        <w:pStyle w:val="ListParagraph"/>
        <w:numPr>
          <w:ilvl w:val="0"/>
          <w:numId w:val="4"/>
        </w:numPr>
        <w:spacing w:after="80" w:line="276"/>
      </w:pPr>
      <w:r>
        <w:t xml:space="preserve">“How to Track Audit Scores Over Time Without a BI Tool”</w:t>
      </w:r>
    </w:p>
    <w:p>
      <w:pPr>
        <w:pStyle w:val="ListParagraph"/>
        <w:numPr>
          <w:ilvl w:val="0"/>
          <w:numId w:val="4"/>
        </w:numPr>
        <w:spacing w:after="80" w:line="276"/>
      </w:pPr>
      <w:r>
        <w:t xml:space="preserve">“Restaurant Health Inspection Prep: A Complete Guide”</w:t>
      </w:r>
    </w:p>
    <w:p>
      <w:pPr>
        <w:pStyle w:val="Heading2"/>
        <w:spacing w:after="200" w:before="300"/>
      </w:pPr>
      <w:r>
        <w:t xml:space="preserve">Channel 4: Product Hunt &amp; Indie Hacker Launches</w:t>
      </w:r>
    </w:p>
    <w:p>
      <w:pPr>
        <w:spacing w:after="160" w:line="276"/>
      </w:pPr>
      <w:r>
        <w:t xml:space="preserve">One well-executed Product Hunt launch can deliver 500+ signups in a day. Prepare in advance:</w:t>
      </w:r>
    </w:p>
    <w:p>
      <w:pPr>
        <w:pStyle w:val="ListParagraph"/>
        <w:numPr>
          <w:ilvl w:val="0"/>
          <w:numId w:val="2"/>
        </w:numPr>
        <w:spacing w:after="80" w:line="276"/>
      </w:pPr>
      <w:r>
        <w:t xml:space="preserve">Build a “coming soon” list of supporters 2 weeks before launch</w:t>
      </w:r>
    </w:p>
    <w:p>
      <w:pPr>
        <w:pStyle w:val="ListParagraph"/>
        <w:numPr>
          <w:ilvl w:val="0"/>
          <w:numId w:val="2"/>
        </w:numPr>
        <w:spacing w:after="80" w:line="276"/>
      </w:pPr>
      <w:r>
        <w:t xml:space="preserve">Create a compelling tagline, 4–6 screenshots, and a short demo GIF</w:t>
      </w:r>
    </w:p>
    <w:p>
      <w:pPr>
        <w:pStyle w:val="ListParagraph"/>
        <w:numPr>
          <w:ilvl w:val="0"/>
          <w:numId w:val="2"/>
        </w:numPr>
        <w:spacing w:after="80" w:line="276"/>
      </w:pPr>
      <w:r>
        <w:t xml:space="preserve">Launch on a Tuesday or Wednesday for best visibility</w:t>
      </w:r>
    </w:p>
    <w:p>
      <w:pPr>
        <w:pStyle w:val="ListParagraph"/>
        <w:numPr>
          <w:ilvl w:val="0"/>
          <w:numId w:val="2"/>
        </w:numPr>
        <w:spacing w:after="80" w:line="276"/>
      </w:pPr>
      <w:r>
        <w:t xml:space="preserve">Cross-post to Indie Hackers, Hacker News (Show HN), and Twitter/X</w:t>
      </w:r>
    </w:p>
    <w:p>
      <w:pPr>
        <w:pStyle w:val="Heading2"/>
        <w:spacing w:after="200" w:before="300"/>
      </w:pPr>
      <w:r>
        <w:t xml:space="preserve">Channel 5: Strategic Partnerships</w:t>
      </w:r>
    </w:p>
    <w:p>
      <w:pPr>
        <w:spacing w:after="160" w:line="276"/>
      </w:pPr>
      <w:r>
        <w:t xml:space="preserve">Partner with people who already have your audience:</w:t>
      </w:r>
    </w:p>
    <w:p>
      <w:pPr>
        <w:pStyle w:val="ListParagraph"/>
        <w:numPr>
          <w:ilvl w:val="0"/>
          <w:numId w:val="2"/>
        </w:numPr>
        <w:spacing w:after="80" w:line="276"/>
      </w:pPr>
      <w:r>
        <w:t xml:space="preserve">Compliance consultants — offer them a referral commission or free seats for their clients</w:t>
      </w:r>
    </w:p>
    <w:p>
      <w:pPr>
        <w:pStyle w:val="ListParagraph"/>
        <w:numPr>
          <w:ilvl w:val="0"/>
          <w:numId w:val="2"/>
        </w:numPr>
        <w:spacing w:after="80" w:line="276"/>
      </w:pPr>
      <w:r>
        <w:t xml:space="preserve">Industry associations — ISACA local chapters, ASQ (quality), AHLA (hospitality), etc.</w:t>
      </w:r>
    </w:p>
    <w:p>
      <w:pPr>
        <w:pStyle w:val="ListParagraph"/>
        <w:numPr>
          <w:ilvl w:val="0"/>
          <w:numId w:val="2"/>
        </w:numPr>
        <w:spacing w:after="80" w:line="276"/>
      </w:pPr>
      <w:r>
        <w:t xml:space="preserve">Bookkeepers/accountants — they often advise small businesses on compliance tooling</w:t>
      </w:r>
    </w:p>
    <w:p>
      <w:pPr>
        <w:pStyle w:val="ListParagraph"/>
        <w:numPr>
          <w:ilvl w:val="0"/>
          <w:numId w:val="2"/>
        </w:numPr>
        <w:spacing w:after="80" w:line="276"/>
      </w:pPr>
      <w:r>
        <w:t xml:space="preserve">Other SaaS tools — co-marketing with non-competing tools (HR software, project management tools)</w:t>
      </w:r>
    </w:p>
    <w:p>
      <w:pPr>
        <w:pBdr>
          <w:bottom w:val="single" w:color="DBEAFE" w:sz="4" w:space="8"/>
        </w:pBdr>
        <w:spacing w:after="200" w:before="200"/>
      </w:pPr>
    </w:p>
    <w:p>
      <w:r>
        <w:br w:type="page"/>
      </w:r>
    </w:p>
    <w:p>
      <w:pPr>
        <w:pStyle w:val="Heading1"/>
        <w:spacing w:after="200" w:before="300"/>
      </w:pPr>
      <w:r>
        <w:t xml:space="preserve">3. Landing Page Copy</w:t>
      </w:r>
    </w:p>
    <w:p>
      <w:pPr>
        <w:spacing w:after="160" w:line="276"/>
      </w:pPr>
      <w:r>
        <w:t xml:space="preserve">Here’s ready-to-use copy for audit-flows.com. Adapt the structure to your existing design.</w:t>
      </w:r>
    </w:p>
    <w:p>
      <w:pPr>
        <w:pStyle w:val="Heading2"/>
        <w:spacing w:after="200" w:before="300"/>
      </w:pPr>
      <w:r>
        <w:t xml:space="preserve">Hero Section</w:t>
      </w:r>
    </w:p>
    <w:p>
      <w:pPr>
        <w:shd w:fill="EFF6FF" w:val="clear"/>
        <w:spacing w:after="80" w:before="100"/>
        <w:ind w:left="360" w:right="360"/>
      </w:pPr>
      <w:r>
        <w:rPr>
          <w:b/>
          <w:bCs/>
          <w:sz w:val="22"/>
          <w:szCs w:val="22"/>
        </w:rPr>
        <w:t xml:space="preserve">Headline:</w:t>
      </w:r>
      <w:r>
        <w:rPr>
          <w:sz w:val="22"/>
          <w:szCs w:val="22"/>
        </w:rPr>
        <w:t xml:space="preserve"> Stop Auditing in Spreadsheets.</w:t>
      </w:r>
    </w:p>
    <w:p>
      <w:pPr>
        <w:shd w:fill="EFF6FF" w:val="clear"/>
        <w:spacing w:after="80"/>
        <w:ind w:left="360" w:right="360"/>
      </w:pPr>
      <w:r>
        <w:rPr>
          <w:b/>
          <w:bCs/>
          <w:sz w:val="22"/>
          <w:szCs w:val="22"/>
        </w:rPr>
        <w:t xml:space="preserve">Subheadline:</w:t>
      </w:r>
      <w:r>
        <w:rPr>
          <w:sz w:val="22"/>
          <w:szCs w:val="22"/>
        </w:rPr>
        <w:t xml:space="preserve"> AuditFlows gives your team a focused, one-question-at-a-time audit experience with real-time scoring, trend analytics, and a complete audit trail. Start your free trial — no credit card required.</w:t>
      </w:r>
    </w:p>
    <w:p>
      <w:pPr>
        <w:shd w:fill="EFF6FF" w:val="clear"/>
        <w:spacing w:after="200"/>
        <w:ind w:left="360" w:right="360"/>
      </w:pPr>
      <w:r>
        <w:rPr>
          <w:b/>
          <w:bCs/>
          <w:sz w:val="22"/>
          <w:szCs w:val="22"/>
        </w:rPr>
        <w:t xml:space="preserve">CTA Button:</w:t>
      </w:r>
      <w:r>
        <w:rPr>
          <w:sz w:val="22"/>
          <w:szCs w:val="22"/>
        </w:rPr>
        <w:t xml:space="preserve"> “Start Free 14-Day Trial”</w:t>
      </w:r>
    </w:p>
    <w:p>
      <w:pPr>
        <w:pStyle w:val="Heading2"/>
        <w:spacing w:after="200" w:before="300"/>
      </w:pPr>
      <w:r>
        <w:t xml:space="preserve">Pain Section</w:t>
      </w:r>
    </w:p>
    <w:p>
      <w:pPr>
        <w:shd w:fill="FEF3C7" w:val="clear"/>
        <w:spacing w:after="80"/>
        <w:ind w:left="360" w:right="360"/>
      </w:pPr>
      <w:r>
        <w:rPr>
          <w:b/>
          <w:bCs/>
          <w:sz w:val="22"/>
          <w:szCs w:val="22"/>
        </w:rPr>
        <w:t xml:space="preserve">Section heading:</w:t>
      </w:r>
      <w:r>
        <w:rPr>
          <w:sz w:val="22"/>
          <w:szCs w:val="22"/>
        </w:rPr>
        <w:t xml:space="preserve"> “Sound familiar?”</w:t>
      </w:r>
    </w:p>
    <w:p>
      <w:pPr>
        <w:shd w:fill="FEF3C7" w:val="clear"/>
        <w:spacing w:after="200"/>
        <w:ind w:left="360" w:right="360"/>
      </w:pPr>
      <w:r>
        <w:rPr>
          <w:sz w:val="22"/>
          <w:szCs w:val="22"/>
        </w:rPr>
        <w:t xml:space="preserve">List these pain points with checkmark icons:
• Your audit spreadsheet has 47 tabs and nobody knows which version is current
• Auditors skip questions or score inconsistently because there’s no structure
• You can’t show management how scores have changed over time
• Follow-up items from last month’s audit fell through the cracks again
• Preparing for a regulatory visit means hours of scrambling through files</w:t>
      </w:r>
    </w:p>
    <w:p>
      <w:pPr>
        <w:pStyle w:val="Heading2"/>
        <w:spacing w:after="200" w:before="300"/>
      </w:pPr>
      <w:r>
        <w:t xml:space="preserve">Solution Section</w:t>
      </w:r>
    </w:p>
    <w:p>
      <w:pPr>
        <w:shd w:fill="EFF6FF" w:val="clear"/>
        <w:spacing w:after="200"/>
        <w:ind w:left="360" w:right="360"/>
      </w:pPr>
      <w:r>
        <w:rPr>
          <w:b/>
          <w:bCs/>
          <w:sz w:val="22"/>
          <w:szCs w:val="22"/>
        </w:rPr>
        <w:t xml:space="preserve">Section heading:</w:t>
      </w:r>
      <w:r>
        <w:rPr>
          <w:sz w:val="22"/>
          <w:szCs w:val="22"/>
        </w:rPr>
        <w:t xml:space="preserve"> “AuditFlows fixes this in 3 ways”
1. Focused Auditing — One question at a time. Keyboard shortcuts. Auto-save. Your team actually finishes audits instead of abandoning half-done spreadsheets.
2. Automatic Trend Tracking — Every audit score is logged and visualized. See which departments are improving, which are slipping, and where to focus.
3. Nothing Falls Through the Cracks — Repeating reminders, saved answers, and a complete activity log mean every follow-up gets done.</w:t>
      </w:r>
    </w:p>
    <w:p>
      <w:pPr>
        <w:pStyle w:val="Heading2"/>
        <w:spacing w:after="200" w:before="300"/>
      </w:pPr>
      <w:r>
        <w:t xml:space="preserve">Social Proof Section</w:t>
      </w:r>
    </w:p>
    <w:p>
      <w:pPr>
        <w:spacing w:after="160" w:line="276"/>
      </w:pPr>
      <w:r>
        <w:t xml:space="preserve">Once you have testimonials from beta testers, add 2–3 quotes here. In the meantime, use:</w:t>
      </w:r>
    </w:p>
    <w:p>
      <w:pPr>
        <w:shd w:fill="EFF6FF" w:val="clear"/>
        <w:spacing w:after="200"/>
        <w:ind w:left="360" w:right="360"/>
      </w:pPr>
      <w:r>
        <w:rPr>
          <w:i/>
          <w:iCs/>
          <w:sz w:val="22"/>
          <w:szCs w:val="22"/>
        </w:rPr>
        <w:t xml:space="preserve">“Used by compliance teams at [X] organizations” (even if X = 3, it’s honest)</w:t>
      </w:r>
    </w:p>
    <w:p>
      <w:pPr>
        <w:pStyle w:val="Heading2"/>
        <w:spacing w:after="200" w:before="300"/>
      </w:pPr>
      <w:r>
        <w:t xml:space="preserve">Pricing Section</w:t>
      </w:r>
    </w:p>
    <w:p>
      <w:pPr>
        <w:spacing w:after="160" w:line="276"/>
      </w:pPr>
      <w:r>
        <w:t xml:space="preserve">Keep it dead simple. One plan, transparent pricing:</w:t>
      </w:r>
    </w:p>
    <w:p>
      <w:pPr>
        <w:shd w:fill="EFF6FF" w:val="clear"/>
        <w:spacing w:after="200"/>
        <w:ind w:left="360" w:right="360"/>
      </w:pPr>
      <w:r>
        <w:rPr>
          <w:sz w:val="22"/>
          <w:szCs w:val="22"/>
        </w:rPr>
        <w:t xml:space="preserve">$29/seat/month (or $23/seat billed annually). 3-seat minimum. 14-day free trial. No credit card required. Cancel anytime.</w:t>
      </w:r>
    </w:p>
    <w:p>
      <w:pPr>
        <w:pStyle w:val="Heading2"/>
        <w:spacing w:after="200" w:before="300"/>
      </w:pPr>
      <w:r>
        <w:t xml:space="preserve">Final CTA</w:t>
      </w:r>
    </w:p>
    <w:p>
      <w:pPr>
        <w:shd w:fill="DBEAFE" w:val="clear"/>
        <w:spacing w:after="200"/>
        <w:ind w:left="360" w:right="360"/>
      </w:pPr>
      <w:r>
        <w:rPr>
          <w:b/>
          <w:bCs/>
          <w:color w:val="1E40AF"/>
          <w:sz w:val="24"/>
          <w:szCs w:val="24"/>
        </w:rPr>
        <w:t xml:space="preserve">“Your next audit doesn’t have to be a fire drill.”
Button: “Start Free Trial”</w:t>
      </w:r>
    </w:p>
    <w:p>
      <w:pPr>
        <w:pBdr>
          <w:bottom w:val="single" w:color="DBEAFE" w:sz="4" w:space="8"/>
        </w:pBdr>
        <w:spacing w:after="200" w:before="200"/>
      </w:pPr>
    </w:p>
    <w:p>
      <w:r>
        <w:br w:type="page"/>
      </w:r>
    </w:p>
    <w:p>
      <w:pPr>
        <w:pStyle w:val="Heading1"/>
        <w:spacing w:after="200" w:before="300"/>
      </w:pPr>
      <w:r>
        <w:t xml:space="preserve">4. Outreach Templates</w:t>
      </w:r>
    </w:p>
    <w:p>
      <w:pPr>
        <w:spacing w:after="160" w:line="276"/>
      </w:pPr>
      <w:r>
        <w:t xml:space="preserve">Copy-paste these and personalize the bracketed sections. Keep messages short — nobody reads walls of text from strangers.</w:t>
      </w:r>
    </w:p>
    <w:p>
      <w:pPr>
        <w:pStyle w:val="Heading2"/>
        <w:spacing w:after="200" w:before="300"/>
      </w:pPr>
      <w:r>
        <w:t xml:space="preserve">LinkedIn Connection Request</w:t>
      </w:r>
    </w:p>
    <w:p>
      <w:pPr>
        <w:shd w:fill="EFF6FF" w:val="clear"/>
        <w:spacing w:after="200"/>
        <w:ind w:left="360" w:right="360"/>
      </w:pPr>
      <w:r>
        <w:rPr>
          <w:sz w:val="22"/>
          <w:szCs w:val="22"/>
        </w:rPr>
        <w:t xml:space="preserve">Hi [Name] — I saw you’re leading [compliance/QA/operations] at [Company]. I’m building a tool that replaces spreadsheet-based audits with a focused, one-question-at-a-time flow. Would love to connect and hear how your team currently handles audits.</w:t>
      </w:r>
    </w:p>
    <w:p>
      <w:pPr>
        <w:pStyle w:val="Heading2"/>
        <w:spacing w:after="200" w:before="300"/>
      </w:pPr>
      <w:r>
        <w:t xml:space="preserve">Follow-Up DM (after they accept)</w:t>
      </w:r>
    </w:p>
    <w:p>
      <w:pPr>
        <w:shd w:fill="EFF6FF" w:val="clear"/>
        <w:spacing w:after="200"/>
        <w:ind w:left="360" w:right="360"/>
      </w:pPr>
      <w:r>
        <w:rPr>
          <w:sz w:val="22"/>
          <w:szCs w:val="22"/>
        </w:rPr>
        <w:t xml:space="preserve">Thanks for connecting, [Name]. Quick question — does your team run recurring audits (compliance, quality, safety)? If so, I’d love 15 minutes to show you what we’re building and get your honest feedback. No pitch, just looking for input from people who live this every day. Here’s my calendar if you’re open to it: [Calendly link]</w:t>
      </w:r>
    </w:p>
    <w:p>
      <w:pPr>
        <w:pStyle w:val="Heading2"/>
        <w:spacing w:after="200" w:before="300"/>
      </w:pPr>
      <w:r>
        <w:t xml:space="preserve">Cold Email (for prospects found outside LinkedIn)</w:t>
      </w:r>
    </w:p>
    <w:p>
      <w:pPr>
        <w:shd w:fill="EFF6FF" w:val="clear"/>
        <w:spacing w:after="100"/>
        <w:ind w:left="360" w:right="360"/>
      </w:pPr>
      <w:r>
        <w:rPr>
          <w:b/>
          <w:bCs/>
          <w:sz w:val="22"/>
          <w:szCs w:val="22"/>
        </w:rPr>
        <w:t xml:space="preserve">Subject: </w:t>
      </w:r>
      <w:r>
        <w:rPr>
          <w:sz w:val="22"/>
          <w:szCs w:val="22"/>
        </w:rPr>
        <w:t xml:space="preserve">Quick question about your audit process</w:t>
      </w:r>
    </w:p>
    <w:p>
      <w:pPr>
        <w:shd w:fill="EFF6FF" w:val="clear"/>
        <w:spacing w:after="200"/>
        <w:ind w:left="360" w:right="360"/>
      </w:pPr>
      <w:r>
        <w:rPr>
          <w:sz w:val="22"/>
          <w:szCs w:val="22"/>
        </w:rPr>
        <w:t xml:space="preserve">Hi [Name],
I noticed [Company] operates in [industry] — which usually means recurring compliance audits. Most teams I talk to are still running these in spreadsheets and spending hours compiling results.
I built AuditFlows to fix that. It’s a simple tool where your team answers one audit question at a time (like flashcards), and it automatically tracks scores, trends, and follow-ups.
Would you be open to a 10-minute look? Happy to give you a free extended trial either way.
Best,
Lehi</w:t>
      </w:r>
    </w:p>
    <w:p>
      <w:pPr>
        <w:pStyle w:val="Heading2"/>
        <w:spacing w:after="200" w:before="300"/>
      </w:pPr>
      <w:r>
        <w:t xml:space="preserve">Reddit/Community Comment Template</w:t>
      </w:r>
    </w:p>
    <w:p>
      <w:pPr>
        <w:shd w:fill="EFF6FF" w:val="clear"/>
        <w:spacing w:after="200"/>
        <w:ind w:left="360" w:right="360"/>
      </w:pPr>
      <w:r>
        <w:rPr>
          <w:sz w:val="22"/>
          <w:szCs w:val="22"/>
        </w:rPr>
        <w:t xml:space="preserve">When someone posts about audit/compliance struggles:
“We had this exact problem at my last company. Ended up building a tool to fix it — basically turns your audit checklist into a one-question-at-a-time flow so auditors can’t skip anything, and it tracks scores over time automatically. Happy to share if you want to check it out.”
(Only share the link if they ask. Don’t drop links unprompted — it gets flagged as spam.)</w:t>
      </w:r>
    </w:p>
    <w:p>
      <w:pPr>
        <w:pBdr>
          <w:bottom w:val="single" w:color="DBEAFE" w:sz="4" w:space="8"/>
        </w:pBdr>
        <w:spacing w:after="200" w:before="200"/>
      </w:pPr>
    </w:p>
    <w:p>
      <w:r>
        <w:br w:type="page"/>
      </w:r>
    </w:p>
    <w:p>
      <w:pPr>
        <w:pStyle w:val="Heading1"/>
        <w:spacing w:after="200" w:before="300"/>
      </w:pPr>
      <w:r>
        <w:t xml:space="preserve">5. 30-Day Launch Content Calendar</w:t>
      </w:r>
    </w:p>
    <w:p>
      <w:pPr>
        <w:spacing w:after="160" w:line="276"/>
      </w:pPr>
      <w:r>
        <w:t xml:space="preserve">Here’s a day-by-day plan for your first month of marketing. This assumes you’re spending about 1–2 hours per day.</w:t>
      </w:r>
    </w:p>
    <w:p>
      <w:pPr>
        <w:pStyle w:val="Heading2"/>
        <w:spacing w:after="200" w:before="300"/>
      </w:pPr>
      <w:r>
        <w:t xml:space="preserve">Week 1: Foundation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D0D0D0" w:sz="1"/>
              <w:left w:val="single" w:color="D0D0D0" w:sz="1"/>
              <w:bottom w:val="single" w:color="D0D0D0" w:sz="1"/>
              <w:right w:val="single" w:color="D0D0D0"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Day</w:t>
            </w:r>
          </w:p>
        </w:tc>
        <w:tc>
          <w:tcPr>
            <w:tcW w:type="dxa" w:w="2400"/>
            <w:tcBorders>
              <w:top w:val="single" w:color="D0D0D0" w:sz="1"/>
              <w:left w:val="single" w:color="D0D0D0" w:sz="1"/>
              <w:bottom w:val="single" w:color="D0D0D0" w:sz="1"/>
              <w:right w:val="single" w:color="D0D0D0"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Channel</w:t>
            </w:r>
          </w:p>
        </w:tc>
        <w:tc>
          <w:tcPr>
            <w:tcW w:type="dxa" w:w="5760"/>
            <w:tcBorders>
              <w:top w:val="single" w:color="D0D0D0" w:sz="1"/>
              <w:left w:val="single" w:color="D0D0D0" w:sz="1"/>
              <w:bottom w:val="single" w:color="D0D0D0" w:sz="1"/>
              <w:right w:val="single" w:color="D0D0D0"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1200"/>
            <w:tcBorders>
              <w:top w:val="single" w:color="D0D0D0" w:sz="1"/>
              <w:left w:val="single" w:color="D0D0D0" w:sz="1"/>
              <w:bottom w:val="single" w:color="D0D0D0" w:sz="1"/>
              <w:right w:val="single" w:color="D0D0D0" w:sz="1"/>
            </w:tcBorders>
            <w:shd w:fill="EFF6FF" w:val="clear"/>
            <w:tcMar>
              <w:top w:type="dxa" w:w="80"/>
              <w:left w:type="dxa" w:w="120"/>
              <w:bottom w:type="dxa" w:w="80"/>
              <w:right w:type="dxa" w:w="120"/>
            </w:tcMar>
          </w:tcPr>
          <w:p>
            <w:r>
              <w:rPr>
                <w:rFonts w:ascii="Arial" w:cs="Arial" w:eastAsia="Arial" w:hAnsi="Arial"/>
                <w:sz w:val="20"/>
                <w:szCs w:val="20"/>
              </w:rPr>
              <w:t xml:space="preserve">Mon</w:t>
            </w:r>
          </w:p>
        </w:tc>
        <w:tc>
          <w:tcPr>
            <w:tcW w:type="dxa" w:w="2400"/>
            <w:tcBorders>
              <w:top w:val="single" w:color="D0D0D0" w:sz="1"/>
              <w:left w:val="single" w:color="D0D0D0" w:sz="1"/>
              <w:bottom w:val="single" w:color="D0D0D0" w:sz="1"/>
              <w:right w:val="single" w:color="D0D0D0" w:sz="1"/>
            </w:tcBorders>
            <w:shd w:fill="EFF6FF" w:val="clear"/>
            <w:tcMar>
              <w:top w:type="dxa" w:w="80"/>
              <w:left w:type="dxa" w:w="120"/>
              <w:bottom w:type="dxa" w:w="80"/>
              <w:right w:type="dxa" w:w="120"/>
            </w:tcMar>
          </w:tcPr>
          <w:p>
            <w:r>
              <w:rPr>
                <w:rFonts w:ascii="Arial" w:cs="Arial" w:eastAsia="Arial" w:hAnsi="Arial"/>
                <w:sz w:val="20"/>
                <w:szCs w:val="20"/>
              </w:rPr>
              <w:t xml:space="preserve">Setup</w:t>
            </w:r>
          </w:p>
        </w:tc>
        <w:tc>
          <w:tcPr>
            <w:tcW w:type="dxa" w:w="5760"/>
            <w:tcBorders>
              <w:top w:val="single" w:color="D0D0D0" w:sz="1"/>
              <w:left w:val="single" w:color="D0D0D0" w:sz="1"/>
              <w:bottom w:val="single" w:color="D0D0D0" w:sz="1"/>
              <w:right w:val="single" w:color="D0D0D0" w:sz="1"/>
            </w:tcBorders>
            <w:shd w:fill="EFF6FF" w:val="clear"/>
            <w:tcMar>
              <w:top w:type="dxa" w:w="80"/>
              <w:left w:type="dxa" w:w="120"/>
              <w:bottom w:type="dxa" w:w="80"/>
              <w:right w:type="dxa" w:w="120"/>
            </w:tcMar>
          </w:tcPr>
          <w:p>
            <w:r>
              <w:rPr>
                <w:rFonts w:ascii="Arial" w:cs="Arial" w:eastAsia="Arial" w:hAnsi="Arial"/>
                <w:sz w:val="20"/>
                <w:szCs w:val="20"/>
              </w:rPr>
              <w:t xml:space="preserve">Set up Calendly for demo calls. Create a LinkedIn content doc to batch-write posts.</w:t>
            </w:r>
          </w:p>
        </w:tc>
      </w:tr>
      <w:tr>
        <w:tc>
          <w:tcPr>
            <w:tcW w:type="dxa" w:w="1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Tue</w:t>
            </w:r>
          </w:p>
        </w:tc>
        <w:tc>
          <w:tcPr>
            <w:tcW w:type="dxa" w:w="24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LinkedIn</w:t>
            </w:r>
          </w:p>
        </w:tc>
        <w:tc>
          <w:tcPr>
            <w:tcW w:type="dxa" w:w="57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Post #1: Pain-point story (“The audit spreadsheet that cost us $50K” type narrative)</w:t>
            </w:r>
          </w:p>
        </w:tc>
      </w:tr>
      <w:tr>
        <w:tc>
          <w:tcPr>
            <w:tcW w:type="dxa" w:w="1200"/>
            <w:tcBorders>
              <w:top w:val="single" w:color="D0D0D0" w:sz="1"/>
              <w:left w:val="single" w:color="D0D0D0" w:sz="1"/>
              <w:bottom w:val="single" w:color="D0D0D0" w:sz="1"/>
              <w:right w:val="single" w:color="D0D0D0" w:sz="1"/>
            </w:tcBorders>
            <w:shd w:fill="EFF6FF" w:val="clear"/>
            <w:tcMar>
              <w:top w:type="dxa" w:w="80"/>
              <w:left w:type="dxa" w:w="120"/>
              <w:bottom w:type="dxa" w:w="80"/>
              <w:right w:type="dxa" w:w="120"/>
            </w:tcMar>
          </w:tcPr>
          <w:p>
            <w:r>
              <w:rPr>
                <w:rFonts w:ascii="Arial" w:cs="Arial" w:eastAsia="Arial" w:hAnsi="Arial"/>
                <w:sz w:val="20"/>
                <w:szCs w:val="20"/>
              </w:rPr>
              <w:t xml:space="preserve">Wed</w:t>
            </w:r>
          </w:p>
        </w:tc>
        <w:tc>
          <w:tcPr>
            <w:tcW w:type="dxa" w:w="2400"/>
            <w:tcBorders>
              <w:top w:val="single" w:color="D0D0D0" w:sz="1"/>
              <w:left w:val="single" w:color="D0D0D0" w:sz="1"/>
              <w:bottom w:val="single" w:color="D0D0D0" w:sz="1"/>
              <w:right w:val="single" w:color="D0D0D0" w:sz="1"/>
            </w:tcBorders>
            <w:shd w:fill="EFF6FF" w:val="clear"/>
            <w:tcMar>
              <w:top w:type="dxa" w:w="80"/>
              <w:left w:type="dxa" w:w="120"/>
              <w:bottom w:type="dxa" w:w="80"/>
              <w:right w:type="dxa" w:w="120"/>
            </w:tcMar>
          </w:tcPr>
          <w:p>
            <w:r>
              <w:rPr>
                <w:rFonts w:ascii="Arial" w:cs="Arial" w:eastAsia="Arial" w:hAnsi="Arial"/>
                <w:sz w:val="20"/>
                <w:szCs w:val="20"/>
              </w:rPr>
              <w:t xml:space="preserve">Outreach</w:t>
            </w:r>
          </w:p>
        </w:tc>
        <w:tc>
          <w:tcPr>
            <w:tcW w:type="dxa" w:w="5760"/>
            <w:tcBorders>
              <w:top w:val="single" w:color="D0D0D0" w:sz="1"/>
              <w:left w:val="single" w:color="D0D0D0" w:sz="1"/>
              <w:bottom w:val="single" w:color="D0D0D0" w:sz="1"/>
              <w:right w:val="single" w:color="D0D0D0" w:sz="1"/>
            </w:tcBorders>
            <w:shd w:fill="EFF6FF" w:val="clear"/>
            <w:tcMar>
              <w:top w:type="dxa" w:w="80"/>
              <w:left w:type="dxa" w:w="120"/>
              <w:bottom w:type="dxa" w:w="80"/>
              <w:right w:type="dxa" w:w="120"/>
            </w:tcMar>
          </w:tcPr>
          <w:p>
            <w:r>
              <w:rPr>
                <w:rFonts w:ascii="Arial" w:cs="Arial" w:eastAsia="Arial" w:hAnsi="Arial"/>
                <w:sz w:val="20"/>
                <w:szCs w:val="20"/>
              </w:rPr>
              <w:t xml:space="preserve">Send 20 LinkedIn connection requests to compliance/QA managers</w:t>
            </w:r>
          </w:p>
        </w:tc>
      </w:tr>
      <w:tr>
        <w:tc>
          <w:tcPr>
            <w:tcW w:type="dxa" w:w="1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Thu</w:t>
            </w:r>
          </w:p>
        </w:tc>
        <w:tc>
          <w:tcPr>
            <w:tcW w:type="dxa" w:w="24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LinkedIn</w:t>
            </w:r>
          </w:p>
        </w:tc>
        <w:tc>
          <w:tcPr>
            <w:tcW w:type="dxa" w:w="57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Post #2: Before/after screenshot (spreadsheet vs. AuditFlows UI)</w:t>
            </w:r>
          </w:p>
        </w:tc>
      </w:tr>
      <w:tr>
        <w:tc>
          <w:tcPr>
            <w:tcW w:type="dxa" w:w="1200"/>
            <w:tcBorders>
              <w:top w:val="single" w:color="D0D0D0" w:sz="1"/>
              <w:left w:val="single" w:color="D0D0D0" w:sz="1"/>
              <w:bottom w:val="single" w:color="D0D0D0" w:sz="1"/>
              <w:right w:val="single" w:color="D0D0D0" w:sz="1"/>
            </w:tcBorders>
            <w:shd w:fill="EFF6FF" w:val="clear"/>
            <w:tcMar>
              <w:top w:type="dxa" w:w="80"/>
              <w:left w:type="dxa" w:w="120"/>
              <w:bottom w:type="dxa" w:w="80"/>
              <w:right w:type="dxa" w:w="120"/>
            </w:tcMar>
          </w:tcPr>
          <w:p>
            <w:r>
              <w:rPr>
                <w:rFonts w:ascii="Arial" w:cs="Arial" w:eastAsia="Arial" w:hAnsi="Arial"/>
                <w:sz w:val="20"/>
                <w:szCs w:val="20"/>
              </w:rPr>
              <w:t xml:space="preserve">Fri</w:t>
            </w:r>
          </w:p>
        </w:tc>
        <w:tc>
          <w:tcPr>
            <w:tcW w:type="dxa" w:w="2400"/>
            <w:tcBorders>
              <w:top w:val="single" w:color="D0D0D0" w:sz="1"/>
              <w:left w:val="single" w:color="D0D0D0" w:sz="1"/>
              <w:bottom w:val="single" w:color="D0D0D0" w:sz="1"/>
              <w:right w:val="single" w:color="D0D0D0" w:sz="1"/>
            </w:tcBorders>
            <w:shd w:fill="EFF6FF" w:val="clear"/>
            <w:tcMar>
              <w:top w:type="dxa" w:w="80"/>
              <w:left w:type="dxa" w:w="120"/>
              <w:bottom w:type="dxa" w:w="80"/>
              <w:right w:type="dxa" w:w="120"/>
            </w:tcMar>
          </w:tcPr>
          <w:p>
            <w:r>
              <w:rPr>
                <w:rFonts w:ascii="Arial" w:cs="Arial" w:eastAsia="Arial" w:hAnsi="Arial"/>
                <w:sz w:val="20"/>
                <w:szCs w:val="20"/>
              </w:rPr>
              <w:t xml:space="preserve">Community</w:t>
            </w:r>
          </w:p>
        </w:tc>
        <w:tc>
          <w:tcPr>
            <w:tcW w:type="dxa" w:w="5760"/>
            <w:tcBorders>
              <w:top w:val="single" w:color="D0D0D0" w:sz="1"/>
              <w:left w:val="single" w:color="D0D0D0" w:sz="1"/>
              <w:bottom w:val="single" w:color="D0D0D0" w:sz="1"/>
              <w:right w:val="single" w:color="D0D0D0" w:sz="1"/>
            </w:tcBorders>
            <w:shd w:fill="EFF6FF" w:val="clear"/>
            <w:tcMar>
              <w:top w:type="dxa" w:w="80"/>
              <w:left w:type="dxa" w:w="120"/>
              <w:bottom w:type="dxa" w:w="80"/>
              <w:right w:type="dxa" w:w="120"/>
            </w:tcMar>
          </w:tcPr>
          <w:p>
            <w:r>
              <w:rPr>
                <w:rFonts w:ascii="Arial" w:cs="Arial" w:eastAsia="Arial" w:hAnsi="Arial"/>
                <w:sz w:val="20"/>
                <w:szCs w:val="20"/>
              </w:rPr>
              <w:t xml:space="preserve">Join 3 Reddit communities. Read and comment on 5 posts (no pitching yet).</w:t>
            </w:r>
          </w:p>
        </w:tc>
      </w:tr>
    </w:tbl>
    <w:p>
      <w:pPr>
        <w:pStyle w:val="Heading2"/>
        <w:spacing w:after="200" w:before="300"/>
      </w:pPr>
      <w:r>
        <w:t xml:space="preserve">Week 2: Outreach Ramp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D0D0D0" w:sz="1"/>
              <w:left w:val="single" w:color="D0D0D0" w:sz="1"/>
              <w:bottom w:val="single" w:color="D0D0D0" w:sz="1"/>
              <w:right w:val="single" w:color="D0D0D0"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Day</w:t>
            </w:r>
          </w:p>
        </w:tc>
        <w:tc>
          <w:tcPr>
            <w:tcW w:type="dxa" w:w="2400"/>
            <w:tcBorders>
              <w:top w:val="single" w:color="D0D0D0" w:sz="1"/>
              <w:left w:val="single" w:color="D0D0D0" w:sz="1"/>
              <w:bottom w:val="single" w:color="D0D0D0" w:sz="1"/>
              <w:right w:val="single" w:color="D0D0D0"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Channel</w:t>
            </w:r>
          </w:p>
        </w:tc>
        <w:tc>
          <w:tcPr>
            <w:tcW w:type="dxa" w:w="5760"/>
            <w:tcBorders>
              <w:top w:val="single" w:color="D0D0D0" w:sz="1"/>
              <w:left w:val="single" w:color="D0D0D0" w:sz="1"/>
              <w:bottom w:val="single" w:color="D0D0D0" w:sz="1"/>
              <w:right w:val="single" w:color="D0D0D0"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1200"/>
            <w:tcBorders>
              <w:top w:val="single" w:color="D0D0D0" w:sz="1"/>
              <w:left w:val="single" w:color="D0D0D0" w:sz="1"/>
              <w:bottom w:val="single" w:color="D0D0D0" w:sz="1"/>
              <w:right w:val="single" w:color="D0D0D0" w:sz="1"/>
            </w:tcBorders>
            <w:shd w:fill="EFF6FF" w:val="clear"/>
            <w:tcMar>
              <w:top w:type="dxa" w:w="80"/>
              <w:left w:type="dxa" w:w="120"/>
              <w:bottom w:type="dxa" w:w="80"/>
              <w:right w:type="dxa" w:w="120"/>
            </w:tcMar>
          </w:tcPr>
          <w:p>
            <w:r>
              <w:rPr>
                <w:rFonts w:ascii="Arial" w:cs="Arial" w:eastAsia="Arial" w:hAnsi="Arial"/>
                <w:sz w:val="20"/>
                <w:szCs w:val="20"/>
              </w:rPr>
              <w:t xml:space="preserve">Mon</w:t>
            </w:r>
          </w:p>
        </w:tc>
        <w:tc>
          <w:tcPr>
            <w:tcW w:type="dxa" w:w="2400"/>
            <w:tcBorders>
              <w:top w:val="single" w:color="D0D0D0" w:sz="1"/>
              <w:left w:val="single" w:color="D0D0D0" w:sz="1"/>
              <w:bottom w:val="single" w:color="D0D0D0" w:sz="1"/>
              <w:right w:val="single" w:color="D0D0D0" w:sz="1"/>
            </w:tcBorders>
            <w:shd w:fill="EFF6FF" w:val="clear"/>
            <w:tcMar>
              <w:top w:type="dxa" w:w="80"/>
              <w:left w:type="dxa" w:w="120"/>
              <w:bottom w:type="dxa" w:w="80"/>
              <w:right w:type="dxa" w:w="120"/>
            </w:tcMar>
          </w:tcPr>
          <w:p>
            <w:r>
              <w:rPr>
                <w:rFonts w:ascii="Arial" w:cs="Arial" w:eastAsia="Arial" w:hAnsi="Arial"/>
                <w:sz w:val="20"/>
                <w:szCs w:val="20"/>
              </w:rPr>
              <w:t xml:space="preserve">LinkedIn</w:t>
            </w:r>
          </w:p>
        </w:tc>
        <w:tc>
          <w:tcPr>
            <w:tcW w:type="dxa" w:w="5760"/>
            <w:tcBorders>
              <w:top w:val="single" w:color="D0D0D0" w:sz="1"/>
              <w:left w:val="single" w:color="D0D0D0" w:sz="1"/>
              <w:bottom w:val="single" w:color="D0D0D0" w:sz="1"/>
              <w:right w:val="single" w:color="D0D0D0" w:sz="1"/>
            </w:tcBorders>
            <w:shd w:fill="EFF6FF" w:val="clear"/>
            <w:tcMar>
              <w:top w:type="dxa" w:w="80"/>
              <w:left w:type="dxa" w:w="120"/>
              <w:bottom w:type="dxa" w:w="80"/>
              <w:right w:type="dxa" w:w="120"/>
            </w:tcMar>
          </w:tcPr>
          <w:p>
            <w:r>
              <w:rPr>
                <w:rFonts w:ascii="Arial" w:cs="Arial" w:eastAsia="Arial" w:hAnsi="Arial"/>
                <w:sz w:val="20"/>
                <w:szCs w:val="20"/>
              </w:rPr>
              <w:t xml:space="preserve">Post #3: Feature spotlight (30-sec screen recording of flashcard flow)</w:t>
            </w:r>
          </w:p>
        </w:tc>
      </w:tr>
      <w:tr>
        <w:tc>
          <w:tcPr>
            <w:tcW w:type="dxa" w:w="1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Tue</w:t>
            </w:r>
          </w:p>
        </w:tc>
        <w:tc>
          <w:tcPr>
            <w:tcW w:type="dxa" w:w="24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Outreach</w:t>
            </w:r>
          </w:p>
        </w:tc>
        <w:tc>
          <w:tcPr>
            <w:tcW w:type="dxa" w:w="57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Follow up with Week 1 connections. Send 20 new requests.</w:t>
            </w:r>
          </w:p>
        </w:tc>
      </w:tr>
      <w:tr>
        <w:tc>
          <w:tcPr>
            <w:tcW w:type="dxa" w:w="1200"/>
            <w:tcBorders>
              <w:top w:val="single" w:color="D0D0D0" w:sz="1"/>
              <w:left w:val="single" w:color="D0D0D0" w:sz="1"/>
              <w:bottom w:val="single" w:color="D0D0D0" w:sz="1"/>
              <w:right w:val="single" w:color="D0D0D0" w:sz="1"/>
            </w:tcBorders>
            <w:shd w:fill="EFF6FF" w:val="clear"/>
            <w:tcMar>
              <w:top w:type="dxa" w:w="80"/>
              <w:left w:type="dxa" w:w="120"/>
              <w:bottom w:type="dxa" w:w="80"/>
              <w:right w:type="dxa" w:w="120"/>
            </w:tcMar>
          </w:tcPr>
          <w:p>
            <w:r>
              <w:rPr>
                <w:rFonts w:ascii="Arial" w:cs="Arial" w:eastAsia="Arial" w:hAnsi="Arial"/>
                <w:sz w:val="20"/>
                <w:szCs w:val="20"/>
              </w:rPr>
              <w:t xml:space="preserve">Wed</w:t>
            </w:r>
          </w:p>
        </w:tc>
        <w:tc>
          <w:tcPr>
            <w:tcW w:type="dxa" w:w="2400"/>
            <w:tcBorders>
              <w:top w:val="single" w:color="D0D0D0" w:sz="1"/>
              <w:left w:val="single" w:color="D0D0D0" w:sz="1"/>
              <w:bottom w:val="single" w:color="D0D0D0" w:sz="1"/>
              <w:right w:val="single" w:color="D0D0D0" w:sz="1"/>
            </w:tcBorders>
            <w:shd w:fill="EFF6FF" w:val="clear"/>
            <w:tcMar>
              <w:top w:type="dxa" w:w="80"/>
              <w:left w:type="dxa" w:w="120"/>
              <w:bottom w:type="dxa" w:w="80"/>
              <w:right w:type="dxa" w:w="120"/>
            </w:tcMar>
          </w:tcPr>
          <w:p>
            <w:r>
              <w:rPr>
                <w:rFonts w:ascii="Arial" w:cs="Arial" w:eastAsia="Arial" w:hAnsi="Arial"/>
                <w:sz w:val="20"/>
                <w:szCs w:val="20"/>
              </w:rPr>
              <w:t xml:space="preserve">Blog</w:t>
            </w:r>
          </w:p>
        </w:tc>
        <w:tc>
          <w:tcPr>
            <w:tcW w:type="dxa" w:w="5760"/>
            <w:tcBorders>
              <w:top w:val="single" w:color="D0D0D0" w:sz="1"/>
              <w:left w:val="single" w:color="D0D0D0" w:sz="1"/>
              <w:bottom w:val="single" w:color="D0D0D0" w:sz="1"/>
              <w:right w:val="single" w:color="D0D0D0" w:sz="1"/>
            </w:tcBorders>
            <w:shd w:fill="EFF6FF" w:val="clear"/>
            <w:tcMar>
              <w:top w:type="dxa" w:w="80"/>
              <w:left w:type="dxa" w:w="120"/>
              <w:bottom w:type="dxa" w:w="80"/>
              <w:right w:type="dxa" w:w="120"/>
            </w:tcMar>
          </w:tcPr>
          <w:p>
            <w:r>
              <w:rPr>
                <w:rFonts w:ascii="Arial" w:cs="Arial" w:eastAsia="Arial" w:hAnsi="Arial"/>
                <w:sz w:val="20"/>
                <w:szCs w:val="20"/>
              </w:rPr>
              <w:t xml:space="preserve">Publish article #1: “The Hidden Cost of Spreadsheet Audits”</w:t>
            </w:r>
          </w:p>
        </w:tc>
      </w:tr>
      <w:tr>
        <w:tc>
          <w:tcPr>
            <w:tcW w:type="dxa" w:w="1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Thu</w:t>
            </w:r>
          </w:p>
        </w:tc>
        <w:tc>
          <w:tcPr>
            <w:tcW w:type="dxa" w:w="24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LinkedIn</w:t>
            </w:r>
          </w:p>
        </w:tc>
        <w:tc>
          <w:tcPr>
            <w:tcW w:type="dxa" w:w="57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Post #4: Share the blog article with a personal anecdote</w:t>
            </w:r>
          </w:p>
        </w:tc>
      </w:tr>
      <w:tr>
        <w:tc>
          <w:tcPr>
            <w:tcW w:type="dxa" w:w="1200"/>
            <w:tcBorders>
              <w:top w:val="single" w:color="D0D0D0" w:sz="1"/>
              <w:left w:val="single" w:color="D0D0D0" w:sz="1"/>
              <w:bottom w:val="single" w:color="D0D0D0" w:sz="1"/>
              <w:right w:val="single" w:color="D0D0D0" w:sz="1"/>
            </w:tcBorders>
            <w:shd w:fill="EFF6FF" w:val="clear"/>
            <w:tcMar>
              <w:top w:type="dxa" w:w="80"/>
              <w:left w:type="dxa" w:w="120"/>
              <w:bottom w:type="dxa" w:w="80"/>
              <w:right w:type="dxa" w:w="120"/>
            </w:tcMar>
          </w:tcPr>
          <w:p>
            <w:r>
              <w:rPr>
                <w:rFonts w:ascii="Arial" w:cs="Arial" w:eastAsia="Arial" w:hAnsi="Arial"/>
                <w:sz w:val="20"/>
                <w:szCs w:val="20"/>
              </w:rPr>
              <w:t xml:space="preserve">Fri</w:t>
            </w:r>
          </w:p>
        </w:tc>
        <w:tc>
          <w:tcPr>
            <w:tcW w:type="dxa" w:w="2400"/>
            <w:tcBorders>
              <w:top w:val="single" w:color="D0D0D0" w:sz="1"/>
              <w:left w:val="single" w:color="D0D0D0" w:sz="1"/>
              <w:bottom w:val="single" w:color="D0D0D0" w:sz="1"/>
              <w:right w:val="single" w:color="D0D0D0" w:sz="1"/>
            </w:tcBorders>
            <w:shd w:fill="EFF6FF" w:val="clear"/>
            <w:tcMar>
              <w:top w:type="dxa" w:w="80"/>
              <w:left w:type="dxa" w:w="120"/>
              <w:bottom w:type="dxa" w:w="80"/>
              <w:right w:type="dxa" w:w="120"/>
            </w:tcMar>
          </w:tcPr>
          <w:p>
            <w:r>
              <w:rPr>
                <w:rFonts w:ascii="Arial" w:cs="Arial" w:eastAsia="Arial" w:hAnsi="Arial"/>
                <w:sz w:val="20"/>
                <w:szCs w:val="20"/>
              </w:rPr>
              <w:t xml:space="preserve">Community</w:t>
            </w:r>
          </w:p>
        </w:tc>
        <w:tc>
          <w:tcPr>
            <w:tcW w:type="dxa" w:w="5760"/>
            <w:tcBorders>
              <w:top w:val="single" w:color="D0D0D0" w:sz="1"/>
              <w:left w:val="single" w:color="D0D0D0" w:sz="1"/>
              <w:bottom w:val="single" w:color="D0D0D0" w:sz="1"/>
              <w:right w:val="single" w:color="D0D0D0" w:sz="1"/>
            </w:tcBorders>
            <w:shd w:fill="EFF6FF" w:val="clear"/>
            <w:tcMar>
              <w:top w:type="dxa" w:w="80"/>
              <w:left w:type="dxa" w:w="120"/>
              <w:bottom w:type="dxa" w:w="80"/>
              <w:right w:type="dxa" w:w="120"/>
            </w:tcMar>
          </w:tcPr>
          <w:p>
            <w:r>
              <w:rPr>
                <w:rFonts w:ascii="Arial" w:cs="Arial" w:eastAsia="Arial" w:hAnsi="Arial"/>
                <w:sz w:val="20"/>
                <w:szCs w:val="20"/>
              </w:rPr>
              <w:t xml:space="preserve">Answer 3 Reddit/Quora questions about audit processes</w:t>
            </w:r>
          </w:p>
        </w:tc>
      </w:tr>
    </w:tbl>
    <w:p>
      <w:pPr>
        <w:pStyle w:val="Heading2"/>
        <w:spacing w:after="200" w:before="300"/>
      </w:pPr>
      <w:r>
        <w:t xml:space="preserve">Week 3: Acceleration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D0D0D0" w:sz="1"/>
              <w:left w:val="single" w:color="D0D0D0" w:sz="1"/>
              <w:bottom w:val="single" w:color="D0D0D0" w:sz="1"/>
              <w:right w:val="single" w:color="D0D0D0"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Day</w:t>
            </w:r>
          </w:p>
        </w:tc>
        <w:tc>
          <w:tcPr>
            <w:tcW w:type="dxa" w:w="2400"/>
            <w:tcBorders>
              <w:top w:val="single" w:color="D0D0D0" w:sz="1"/>
              <w:left w:val="single" w:color="D0D0D0" w:sz="1"/>
              <w:bottom w:val="single" w:color="D0D0D0" w:sz="1"/>
              <w:right w:val="single" w:color="D0D0D0"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Channel</w:t>
            </w:r>
          </w:p>
        </w:tc>
        <w:tc>
          <w:tcPr>
            <w:tcW w:type="dxa" w:w="5760"/>
            <w:tcBorders>
              <w:top w:val="single" w:color="D0D0D0" w:sz="1"/>
              <w:left w:val="single" w:color="D0D0D0" w:sz="1"/>
              <w:bottom w:val="single" w:color="D0D0D0" w:sz="1"/>
              <w:right w:val="single" w:color="D0D0D0"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1200"/>
            <w:tcBorders>
              <w:top w:val="single" w:color="D0D0D0" w:sz="1"/>
              <w:left w:val="single" w:color="D0D0D0" w:sz="1"/>
              <w:bottom w:val="single" w:color="D0D0D0" w:sz="1"/>
              <w:right w:val="single" w:color="D0D0D0" w:sz="1"/>
            </w:tcBorders>
            <w:shd w:fill="EFF6FF" w:val="clear"/>
            <w:tcMar>
              <w:top w:type="dxa" w:w="80"/>
              <w:left w:type="dxa" w:w="120"/>
              <w:bottom w:type="dxa" w:w="80"/>
              <w:right w:type="dxa" w:w="120"/>
            </w:tcMar>
          </w:tcPr>
          <w:p>
            <w:r>
              <w:rPr>
                <w:rFonts w:ascii="Arial" w:cs="Arial" w:eastAsia="Arial" w:hAnsi="Arial"/>
                <w:sz w:val="20"/>
                <w:szCs w:val="20"/>
              </w:rPr>
              <w:t xml:space="preserve">Mon</w:t>
            </w:r>
          </w:p>
        </w:tc>
        <w:tc>
          <w:tcPr>
            <w:tcW w:type="dxa" w:w="2400"/>
            <w:tcBorders>
              <w:top w:val="single" w:color="D0D0D0" w:sz="1"/>
              <w:left w:val="single" w:color="D0D0D0" w:sz="1"/>
              <w:bottom w:val="single" w:color="D0D0D0" w:sz="1"/>
              <w:right w:val="single" w:color="D0D0D0" w:sz="1"/>
            </w:tcBorders>
            <w:shd w:fill="EFF6FF" w:val="clear"/>
            <w:tcMar>
              <w:top w:type="dxa" w:w="80"/>
              <w:left w:type="dxa" w:w="120"/>
              <w:bottom w:type="dxa" w:w="80"/>
              <w:right w:type="dxa" w:w="120"/>
            </w:tcMar>
          </w:tcPr>
          <w:p>
            <w:r>
              <w:rPr>
                <w:rFonts w:ascii="Arial" w:cs="Arial" w:eastAsia="Arial" w:hAnsi="Arial"/>
                <w:sz w:val="20"/>
                <w:szCs w:val="20"/>
              </w:rPr>
              <w:t xml:space="preserve">Outreach</w:t>
            </w:r>
          </w:p>
        </w:tc>
        <w:tc>
          <w:tcPr>
            <w:tcW w:type="dxa" w:w="5760"/>
            <w:tcBorders>
              <w:top w:val="single" w:color="D0D0D0" w:sz="1"/>
              <w:left w:val="single" w:color="D0D0D0" w:sz="1"/>
              <w:bottom w:val="single" w:color="D0D0D0" w:sz="1"/>
              <w:right w:val="single" w:color="D0D0D0" w:sz="1"/>
            </w:tcBorders>
            <w:shd w:fill="EFF6FF" w:val="clear"/>
            <w:tcMar>
              <w:top w:type="dxa" w:w="80"/>
              <w:left w:type="dxa" w:w="120"/>
              <w:bottom w:type="dxa" w:w="80"/>
              <w:right w:type="dxa" w:w="120"/>
            </w:tcMar>
          </w:tcPr>
          <w:p>
            <w:r>
              <w:rPr>
                <w:rFonts w:ascii="Arial" w:cs="Arial" w:eastAsia="Arial" w:hAnsi="Arial"/>
                <w:sz w:val="20"/>
                <w:szCs w:val="20"/>
              </w:rPr>
              <w:t xml:space="preserve">Send first batch of cold emails (10 prospects). Follow up on LinkedIn DMs.</w:t>
            </w:r>
          </w:p>
        </w:tc>
      </w:tr>
      <w:tr>
        <w:tc>
          <w:tcPr>
            <w:tcW w:type="dxa" w:w="1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Tue</w:t>
            </w:r>
          </w:p>
        </w:tc>
        <w:tc>
          <w:tcPr>
            <w:tcW w:type="dxa" w:w="24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LinkedIn</w:t>
            </w:r>
          </w:p>
        </w:tc>
        <w:tc>
          <w:tcPr>
            <w:tcW w:type="dxa" w:w="57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Post #5: “What I learned from 10 demo calls” (share insights from user conversations)</w:t>
            </w:r>
          </w:p>
        </w:tc>
      </w:tr>
      <w:tr>
        <w:tc>
          <w:tcPr>
            <w:tcW w:type="dxa" w:w="1200"/>
            <w:tcBorders>
              <w:top w:val="single" w:color="D0D0D0" w:sz="1"/>
              <w:left w:val="single" w:color="D0D0D0" w:sz="1"/>
              <w:bottom w:val="single" w:color="D0D0D0" w:sz="1"/>
              <w:right w:val="single" w:color="D0D0D0" w:sz="1"/>
            </w:tcBorders>
            <w:shd w:fill="EFF6FF" w:val="clear"/>
            <w:tcMar>
              <w:top w:type="dxa" w:w="80"/>
              <w:left w:type="dxa" w:w="120"/>
              <w:bottom w:type="dxa" w:w="80"/>
              <w:right w:type="dxa" w:w="120"/>
            </w:tcMar>
          </w:tcPr>
          <w:p>
            <w:r>
              <w:rPr>
                <w:rFonts w:ascii="Arial" w:cs="Arial" w:eastAsia="Arial" w:hAnsi="Arial"/>
                <w:sz w:val="20"/>
                <w:szCs w:val="20"/>
              </w:rPr>
              <w:t xml:space="preserve">Wed</w:t>
            </w:r>
          </w:p>
        </w:tc>
        <w:tc>
          <w:tcPr>
            <w:tcW w:type="dxa" w:w="2400"/>
            <w:tcBorders>
              <w:top w:val="single" w:color="D0D0D0" w:sz="1"/>
              <w:left w:val="single" w:color="D0D0D0" w:sz="1"/>
              <w:bottom w:val="single" w:color="D0D0D0" w:sz="1"/>
              <w:right w:val="single" w:color="D0D0D0" w:sz="1"/>
            </w:tcBorders>
            <w:shd w:fill="EFF6FF" w:val="clear"/>
            <w:tcMar>
              <w:top w:type="dxa" w:w="80"/>
              <w:left w:type="dxa" w:w="120"/>
              <w:bottom w:type="dxa" w:w="80"/>
              <w:right w:type="dxa" w:w="120"/>
            </w:tcMar>
          </w:tcPr>
          <w:p>
            <w:r>
              <w:rPr>
                <w:rFonts w:ascii="Arial" w:cs="Arial" w:eastAsia="Arial" w:hAnsi="Arial"/>
                <w:sz w:val="20"/>
                <w:szCs w:val="20"/>
              </w:rPr>
              <w:t xml:space="preserve">Blog</w:t>
            </w:r>
          </w:p>
        </w:tc>
        <w:tc>
          <w:tcPr>
            <w:tcW w:type="dxa" w:w="5760"/>
            <w:tcBorders>
              <w:top w:val="single" w:color="D0D0D0" w:sz="1"/>
              <w:left w:val="single" w:color="D0D0D0" w:sz="1"/>
              <w:bottom w:val="single" w:color="D0D0D0" w:sz="1"/>
              <w:right w:val="single" w:color="D0D0D0" w:sz="1"/>
            </w:tcBorders>
            <w:shd w:fill="EFF6FF" w:val="clear"/>
            <w:tcMar>
              <w:top w:type="dxa" w:w="80"/>
              <w:left w:type="dxa" w:w="120"/>
              <w:bottom w:type="dxa" w:w="80"/>
              <w:right w:type="dxa" w:w="120"/>
            </w:tcMar>
          </w:tcPr>
          <w:p>
            <w:r>
              <w:rPr>
                <w:rFonts w:ascii="Arial" w:cs="Arial" w:eastAsia="Arial" w:hAnsi="Arial"/>
                <w:sz w:val="20"/>
                <w:szCs w:val="20"/>
              </w:rPr>
              <w:t xml:space="preserve">Publish article #2: “Internal Audit Checklist Template” (with gated download)</w:t>
            </w:r>
          </w:p>
        </w:tc>
      </w:tr>
      <w:tr>
        <w:tc>
          <w:tcPr>
            <w:tcW w:type="dxa" w:w="1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Thu</w:t>
            </w:r>
          </w:p>
        </w:tc>
        <w:tc>
          <w:tcPr>
            <w:tcW w:type="dxa" w:w="24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Partnerships</w:t>
            </w:r>
          </w:p>
        </w:tc>
        <w:tc>
          <w:tcPr>
            <w:tcW w:type="dxa" w:w="57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Reach out to 5 compliance consultants about referral partnership</w:t>
            </w:r>
          </w:p>
        </w:tc>
      </w:tr>
      <w:tr>
        <w:tc>
          <w:tcPr>
            <w:tcW w:type="dxa" w:w="1200"/>
            <w:tcBorders>
              <w:top w:val="single" w:color="D0D0D0" w:sz="1"/>
              <w:left w:val="single" w:color="D0D0D0" w:sz="1"/>
              <w:bottom w:val="single" w:color="D0D0D0" w:sz="1"/>
              <w:right w:val="single" w:color="D0D0D0" w:sz="1"/>
            </w:tcBorders>
            <w:shd w:fill="EFF6FF" w:val="clear"/>
            <w:tcMar>
              <w:top w:type="dxa" w:w="80"/>
              <w:left w:type="dxa" w:w="120"/>
              <w:bottom w:type="dxa" w:w="80"/>
              <w:right w:type="dxa" w:w="120"/>
            </w:tcMar>
          </w:tcPr>
          <w:p>
            <w:r>
              <w:rPr>
                <w:rFonts w:ascii="Arial" w:cs="Arial" w:eastAsia="Arial" w:hAnsi="Arial"/>
                <w:sz w:val="20"/>
                <w:szCs w:val="20"/>
              </w:rPr>
              <w:t xml:space="preserve">Fri</w:t>
            </w:r>
          </w:p>
        </w:tc>
        <w:tc>
          <w:tcPr>
            <w:tcW w:type="dxa" w:w="2400"/>
            <w:tcBorders>
              <w:top w:val="single" w:color="D0D0D0" w:sz="1"/>
              <w:left w:val="single" w:color="D0D0D0" w:sz="1"/>
              <w:bottom w:val="single" w:color="D0D0D0" w:sz="1"/>
              <w:right w:val="single" w:color="D0D0D0" w:sz="1"/>
            </w:tcBorders>
            <w:shd w:fill="EFF6FF" w:val="clear"/>
            <w:tcMar>
              <w:top w:type="dxa" w:w="80"/>
              <w:left w:type="dxa" w:w="120"/>
              <w:bottom w:type="dxa" w:w="80"/>
              <w:right w:type="dxa" w:w="120"/>
            </w:tcMar>
          </w:tcPr>
          <w:p>
            <w:r>
              <w:rPr>
                <w:rFonts w:ascii="Arial" w:cs="Arial" w:eastAsia="Arial" w:hAnsi="Arial"/>
                <w:sz w:val="20"/>
                <w:szCs w:val="20"/>
              </w:rPr>
              <w:t xml:space="preserve">LinkedIn</w:t>
            </w:r>
          </w:p>
        </w:tc>
        <w:tc>
          <w:tcPr>
            <w:tcW w:type="dxa" w:w="5760"/>
            <w:tcBorders>
              <w:top w:val="single" w:color="D0D0D0" w:sz="1"/>
              <w:left w:val="single" w:color="D0D0D0" w:sz="1"/>
              <w:bottom w:val="single" w:color="D0D0D0" w:sz="1"/>
              <w:right w:val="single" w:color="D0D0D0" w:sz="1"/>
            </w:tcBorders>
            <w:shd w:fill="EFF6FF" w:val="clear"/>
            <w:tcMar>
              <w:top w:type="dxa" w:w="80"/>
              <w:left w:type="dxa" w:w="120"/>
              <w:bottom w:type="dxa" w:w="80"/>
              <w:right w:type="dxa" w:w="120"/>
            </w:tcMar>
          </w:tcPr>
          <w:p>
            <w:r>
              <w:rPr>
                <w:rFonts w:ascii="Arial" w:cs="Arial" w:eastAsia="Arial" w:hAnsi="Arial"/>
                <w:sz w:val="20"/>
                <w:szCs w:val="20"/>
              </w:rPr>
              <w:t xml:space="preserve">Post #6: Testimonial or feedback screenshot from a beta user</w:t>
            </w:r>
          </w:p>
        </w:tc>
      </w:tr>
    </w:tbl>
    <w:p>
      <w:pPr>
        <w:pStyle w:val="Heading2"/>
        <w:spacing w:after="200" w:before="300"/>
      </w:pPr>
      <w:r>
        <w:t xml:space="preserve">Week 4: Launch Push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D0D0D0" w:sz="1"/>
              <w:left w:val="single" w:color="D0D0D0" w:sz="1"/>
              <w:bottom w:val="single" w:color="D0D0D0" w:sz="1"/>
              <w:right w:val="single" w:color="D0D0D0"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Day</w:t>
            </w:r>
          </w:p>
        </w:tc>
        <w:tc>
          <w:tcPr>
            <w:tcW w:type="dxa" w:w="2400"/>
            <w:tcBorders>
              <w:top w:val="single" w:color="D0D0D0" w:sz="1"/>
              <w:left w:val="single" w:color="D0D0D0" w:sz="1"/>
              <w:bottom w:val="single" w:color="D0D0D0" w:sz="1"/>
              <w:right w:val="single" w:color="D0D0D0"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Channel</w:t>
            </w:r>
          </w:p>
        </w:tc>
        <w:tc>
          <w:tcPr>
            <w:tcW w:type="dxa" w:w="5760"/>
            <w:tcBorders>
              <w:top w:val="single" w:color="D0D0D0" w:sz="1"/>
              <w:left w:val="single" w:color="D0D0D0" w:sz="1"/>
              <w:bottom w:val="single" w:color="D0D0D0" w:sz="1"/>
              <w:right w:val="single" w:color="D0D0D0"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1200"/>
            <w:tcBorders>
              <w:top w:val="single" w:color="D0D0D0" w:sz="1"/>
              <w:left w:val="single" w:color="D0D0D0" w:sz="1"/>
              <w:bottom w:val="single" w:color="D0D0D0" w:sz="1"/>
              <w:right w:val="single" w:color="D0D0D0" w:sz="1"/>
            </w:tcBorders>
            <w:shd w:fill="EFF6FF" w:val="clear"/>
            <w:tcMar>
              <w:top w:type="dxa" w:w="80"/>
              <w:left w:type="dxa" w:w="120"/>
              <w:bottom w:type="dxa" w:w="80"/>
              <w:right w:type="dxa" w:w="120"/>
            </w:tcMar>
          </w:tcPr>
          <w:p>
            <w:r>
              <w:rPr>
                <w:rFonts w:ascii="Arial" w:cs="Arial" w:eastAsia="Arial" w:hAnsi="Arial"/>
                <w:sz w:val="20"/>
                <w:szCs w:val="20"/>
              </w:rPr>
              <w:t xml:space="preserve">Mon</w:t>
            </w:r>
          </w:p>
        </w:tc>
        <w:tc>
          <w:tcPr>
            <w:tcW w:type="dxa" w:w="2400"/>
            <w:tcBorders>
              <w:top w:val="single" w:color="D0D0D0" w:sz="1"/>
              <w:left w:val="single" w:color="D0D0D0" w:sz="1"/>
              <w:bottom w:val="single" w:color="D0D0D0" w:sz="1"/>
              <w:right w:val="single" w:color="D0D0D0" w:sz="1"/>
            </w:tcBorders>
            <w:shd w:fill="EFF6FF" w:val="clear"/>
            <w:tcMar>
              <w:top w:type="dxa" w:w="80"/>
              <w:left w:type="dxa" w:w="120"/>
              <w:bottom w:type="dxa" w:w="80"/>
              <w:right w:type="dxa" w:w="120"/>
            </w:tcMar>
          </w:tcPr>
          <w:p>
            <w:r>
              <w:rPr>
                <w:rFonts w:ascii="Arial" w:cs="Arial" w:eastAsia="Arial" w:hAnsi="Arial"/>
                <w:sz w:val="20"/>
                <w:szCs w:val="20"/>
              </w:rPr>
              <w:t xml:space="preserve">Prep</w:t>
            </w:r>
          </w:p>
        </w:tc>
        <w:tc>
          <w:tcPr>
            <w:tcW w:type="dxa" w:w="5760"/>
            <w:tcBorders>
              <w:top w:val="single" w:color="D0D0D0" w:sz="1"/>
              <w:left w:val="single" w:color="D0D0D0" w:sz="1"/>
              <w:bottom w:val="single" w:color="D0D0D0" w:sz="1"/>
              <w:right w:val="single" w:color="D0D0D0" w:sz="1"/>
            </w:tcBorders>
            <w:shd w:fill="EFF6FF" w:val="clear"/>
            <w:tcMar>
              <w:top w:type="dxa" w:w="80"/>
              <w:left w:type="dxa" w:w="120"/>
              <w:bottom w:type="dxa" w:w="80"/>
              <w:right w:type="dxa" w:w="120"/>
            </w:tcMar>
          </w:tcPr>
          <w:p>
            <w:r>
              <w:rPr>
                <w:rFonts w:ascii="Arial" w:cs="Arial" w:eastAsia="Arial" w:hAnsi="Arial"/>
                <w:sz w:val="20"/>
                <w:szCs w:val="20"/>
              </w:rPr>
              <w:t xml:space="preserve">Prepare Product Hunt assets: tagline, screenshots, demo GIF, maker story</w:t>
            </w:r>
          </w:p>
        </w:tc>
      </w:tr>
      <w:tr>
        <w:tc>
          <w:tcPr>
            <w:tcW w:type="dxa" w:w="1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Tue</w:t>
            </w:r>
          </w:p>
        </w:tc>
        <w:tc>
          <w:tcPr>
            <w:tcW w:type="dxa" w:w="24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Launch</w:t>
            </w:r>
          </w:p>
        </w:tc>
        <w:tc>
          <w:tcPr>
            <w:tcW w:type="dxa" w:w="57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Product Hunt launch day. Cross-post to Indie Hackers, Hacker News, Twitter/X</w:t>
            </w:r>
          </w:p>
        </w:tc>
      </w:tr>
      <w:tr>
        <w:tc>
          <w:tcPr>
            <w:tcW w:type="dxa" w:w="1200"/>
            <w:tcBorders>
              <w:top w:val="single" w:color="D0D0D0" w:sz="1"/>
              <w:left w:val="single" w:color="D0D0D0" w:sz="1"/>
              <w:bottom w:val="single" w:color="D0D0D0" w:sz="1"/>
              <w:right w:val="single" w:color="D0D0D0" w:sz="1"/>
            </w:tcBorders>
            <w:shd w:fill="EFF6FF" w:val="clear"/>
            <w:tcMar>
              <w:top w:type="dxa" w:w="80"/>
              <w:left w:type="dxa" w:w="120"/>
              <w:bottom w:type="dxa" w:w="80"/>
              <w:right w:type="dxa" w:w="120"/>
            </w:tcMar>
          </w:tcPr>
          <w:p>
            <w:r>
              <w:rPr>
                <w:rFonts w:ascii="Arial" w:cs="Arial" w:eastAsia="Arial" w:hAnsi="Arial"/>
                <w:sz w:val="20"/>
                <w:szCs w:val="20"/>
              </w:rPr>
              <w:t xml:space="preserve">Wed</w:t>
            </w:r>
          </w:p>
        </w:tc>
        <w:tc>
          <w:tcPr>
            <w:tcW w:type="dxa" w:w="2400"/>
            <w:tcBorders>
              <w:top w:val="single" w:color="D0D0D0" w:sz="1"/>
              <w:left w:val="single" w:color="D0D0D0" w:sz="1"/>
              <w:bottom w:val="single" w:color="D0D0D0" w:sz="1"/>
              <w:right w:val="single" w:color="D0D0D0" w:sz="1"/>
            </w:tcBorders>
            <w:shd w:fill="EFF6FF" w:val="clear"/>
            <w:tcMar>
              <w:top w:type="dxa" w:w="80"/>
              <w:left w:type="dxa" w:w="120"/>
              <w:bottom w:type="dxa" w:w="80"/>
              <w:right w:type="dxa" w:w="120"/>
            </w:tcMar>
          </w:tcPr>
          <w:p>
            <w:r>
              <w:rPr>
                <w:rFonts w:ascii="Arial" w:cs="Arial" w:eastAsia="Arial" w:hAnsi="Arial"/>
                <w:sz w:val="20"/>
                <w:szCs w:val="20"/>
              </w:rPr>
              <w:t xml:space="preserve">All</w:t>
            </w:r>
          </w:p>
        </w:tc>
        <w:tc>
          <w:tcPr>
            <w:tcW w:type="dxa" w:w="5760"/>
            <w:tcBorders>
              <w:top w:val="single" w:color="D0D0D0" w:sz="1"/>
              <w:left w:val="single" w:color="D0D0D0" w:sz="1"/>
              <w:bottom w:val="single" w:color="D0D0D0" w:sz="1"/>
              <w:right w:val="single" w:color="D0D0D0" w:sz="1"/>
            </w:tcBorders>
            <w:shd w:fill="EFF6FF" w:val="clear"/>
            <w:tcMar>
              <w:top w:type="dxa" w:w="80"/>
              <w:left w:type="dxa" w:w="120"/>
              <w:bottom w:type="dxa" w:w="80"/>
              <w:right w:type="dxa" w:w="120"/>
            </w:tcMar>
          </w:tcPr>
          <w:p>
            <w:r>
              <w:rPr>
                <w:rFonts w:ascii="Arial" w:cs="Arial" w:eastAsia="Arial" w:hAnsi="Arial"/>
                <w:sz w:val="20"/>
                <w:szCs w:val="20"/>
              </w:rPr>
              <w:t xml:space="preserve">Engage with every PH comment. Share launch on LinkedIn. Email your waitlist.</w:t>
            </w:r>
          </w:p>
        </w:tc>
      </w:tr>
      <w:tr>
        <w:tc>
          <w:tcPr>
            <w:tcW w:type="dxa" w:w="1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Thu</w:t>
            </w:r>
          </w:p>
        </w:tc>
        <w:tc>
          <w:tcPr>
            <w:tcW w:type="dxa" w:w="24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Blog</w:t>
            </w:r>
          </w:p>
        </w:tc>
        <w:tc>
          <w:tcPr>
            <w:tcW w:type="dxa" w:w="57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Publish: “We just launched on Product Hunt — here’s what happened”</w:t>
            </w:r>
          </w:p>
        </w:tc>
      </w:tr>
      <w:tr>
        <w:tc>
          <w:tcPr>
            <w:tcW w:type="dxa" w:w="1200"/>
            <w:tcBorders>
              <w:top w:val="single" w:color="D0D0D0" w:sz="1"/>
              <w:left w:val="single" w:color="D0D0D0" w:sz="1"/>
              <w:bottom w:val="single" w:color="D0D0D0" w:sz="1"/>
              <w:right w:val="single" w:color="D0D0D0" w:sz="1"/>
            </w:tcBorders>
            <w:shd w:fill="EFF6FF" w:val="clear"/>
            <w:tcMar>
              <w:top w:type="dxa" w:w="80"/>
              <w:left w:type="dxa" w:w="120"/>
              <w:bottom w:type="dxa" w:w="80"/>
              <w:right w:type="dxa" w:w="120"/>
            </w:tcMar>
          </w:tcPr>
          <w:p>
            <w:r>
              <w:rPr>
                <w:rFonts w:ascii="Arial" w:cs="Arial" w:eastAsia="Arial" w:hAnsi="Arial"/>
                <w:sz w:val="20"/>
                <w:szCs w:val="20"/>
              </w:rPr>
              <w:t xml:space="preserve">Fri</w:t>
            </w:r>
          </w:p>
        </w:tc>
        <w:tc>
          <w:tcPr>
            <w:tcW w:type="dxa" w:w="2400"/>
            <w:tcBorders>
              <w:top w:val="single" w:color="D0D0D0" w:sz="1"/>
              <w:left w:val="single" w:color="D0D0D0" w:sz="1"/>
              <w:bottom w:val="single" w:color="D0D0D0" w:sz="1"/>
              <w:right w:val="single" w:color="D0D0D0" w:sz="1"/>
            </w:tcBorders>
            <w:shd w:fill="EFF6FF" w:val="clear"/>
            <w:tcMar>
              <w:top w:type="dxa" w:w="80"/>
              <w:left w:type="dxa" w:w="120"/>
              <w:bottom w:type="dxa" w:w="80"/>
              <w:right w:type="dxa" w:w="120"/>
            </w:tcMar>
          </w:tcPr>
          <w:p>
            <w:r>
              <w:rPr>
                <w:rFonts w:ascii="Arial" w:cs="Arial" w:eastAsia="Arial" w:hAnsi="Arial"/>
                <w:sz w:val="20"/>
                <w:szCs w:val="20"/>
              </w:rPr>
              <w:t xml:space="preserve">Review</w:t>
            </w:r>
          </w:p>
        </w:tc>
        <w:tc>
          <w:tcPr>
            <w:tcW w:type="dxa" w:w="5760"/>
            <w:tcBorders>
              <w:top w:val="single" w:color="D0D0D0" w:sz="1"/>
              <w:left w:val="single" w:color="D0D0D0" w:sz="1"/>
              <w:bottom w:val="single" w:color="D0D0D0" w:sz="1"/>
              <w:right w:val="single" w:color="D0D0D0" w:sz="1"/>
            </w:tcBorders>
            <w:shd w:fill="EFF6FF" w:val="clear"/>
            <w:tcMar>
              <w:top w:type="dxa" w:w="80"/>
              <w:left w:type="dxa" w:w="120"/>
              <w:bottom w:type="dxa" w:w="80"/>
              <w:right w:type="dxa" w:w="120"/>
            </w:tcMar>
          </w:tcPr>
          <w:p>
            <w:r>
              <w:rPr>
                <w:rFonts w:ascii="Arial" w:cs="Arial" w:eastAsia="Arial" w:hAnsi="Arial"/>
                <w:sz w:val="20"/>
                <w:szCs w:val="20"/>
              </w:rPr>
              <w:t xml:space="preserve">Review metrics: signups, trial starts, demo calls booked. Plan Month 2.</w:t>
            </w:r>
          </w:p>
        </w:tc>
      </w:tr>
    </w:tbl>
    <w:p>
      <w:pPr>
        <w:pBdr>
          <w:bottom w:val="single" w:color="DBEAFE" w:sz="4" w:space="8"/>
        </w:pBdr>
        <w:spacing w:after="200" w:before="200"/>
      </w:pPr>
    </w:p>
    <w:p>
      <w:r>
        <w:br w:type="page"/>
      </w:r>
    </w:p>
    <w:p>
      <w:pPr>
        <w:pStyle w:val="Heading1"/>
        <w:spacing w:after="200" w:before="300"/>
      </w:pPr>
      <w:r>
        <w:t xml:space="preserve">6. Key Metrics to Track</w:t>
      </w:r>
    </w:p>
    <w:p>
      <w:pPr>
        <w:spacing w:after="160" w:line="276"/>
      </w:pPr>
      <w:r>
        <w:t xml:space="preserve">You can’t improve what you don’t measure. Track these weekly in a simple spreadsheet.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tcBorders>
              <w:top w:val="single" w:color="D0D0D0" w:sz="1"/>
              <w:left w:val="single" w:color="D0D0D0" w:sz="1"/>
              <w:bottom w:val="single" w:color="D0D0D0" w:sz="1"/>
              <w:right w:val="single" w:color="D0D0D0"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380"/>
            <w:tcBorders>
              <w:top w:val="single" w:color="D0D0D0" w:sz="1"/>
              <w:left w:val="single" w:color="D0D0D0" w:sz="1"/>
              <w:bottom w:val="single" w:color="D0D0D0" w:sz="1"/>
              <w:right w:val="single" w:color="D0D0D0"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Target (Month 1)</w:t>
            </w:r>
          </w:p>
        </w:tc>
        <w:tc>
          <w:tcPr>
            <w:tcW w:type="dxa" w:w="3380"/>
            <w:tcBorders>
              <w:top w:val="single" w:color="D0D0D0" w:sz="1"/>
              <w:left w:val="single" w:color="D0D0D0" w:sz="1"/>
              <w:bottom w:val="single" w:color="D0D0D0" w:sz="1"/>
              <w:right w:val="single" w:color="D0D0D0"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Why It Matters</w:t>
            </w:r>
          </w:p>
        </w:tc>
      </w:tr>
      <w:tr>
        <w:tc>
          <w:tcPr>
            <w:tcW w:type="dxa" w:w="2600"/>
            <w:tcBorders>
              <w:top w:val="single" w:color="D0D0D0" w:sz="1"/>
              <w:left w:val="single" w:color="D0D0D0" w:sz="1"/>
              <w:bottom w:val="single" w:color="D0D0D0" w:sz="1"/>
              <w:right w:val="single" w:color="D0D0D0" w:sz="1"/>
            </w:tcBorders>
            <w:shd w:fill="EFF6FF" w:val="clear"/>
            <w:tcMar>
              <w:top w:type="dxa" w:w="80"/>
              <w:left w:type="dxa" w:w="120"/>
              <w:bottom w:type="dxa" w:w="80"/>
              <w:right w:type="dxa" w:w="120"/>
            </w:tcMar>
          </w:tcPr>
          <w:p>
            <w:r>
              <w:rPr>
                <w:rFonts w:ascii="Arial" w:cs="Arial" w:eastAsia="Arial" w:hAnsi="Arial"/>
                <w:sz w:val="20"/>
                <w:szCs w:val="20"/>
              </w:rPr>
              <w:t xml:space="preserve">Website visitors</w:t>
            </w:r>
          </w:p>
        </w:tc>
        <w:tc>
          <w:tcPr>
            <w:tcW w:type="dxa" w:w="3380"/>
            <w:tcBorders>
              <w:top w:val="single" w:color="D0D0D0" w:sz="1"/>
              <w:left w:val="single" w:color="D0D0D0" w:sz="1"/>
              <w:bottom w:val="single" w:color="D0D0D0" w:sz="1"/>
              <w:right w:val="single" w:color="D0D0D0" w:sz="1"/>
            </w:tcBorders>
            <w:shd w:fill="EFF6FF" w:val="clear"/>
            <w:tcMar>
              <w:top w:type="dxa" w:w="80"/>
              <w:left w:type="dxa" w:w="120"/>
              <w:bottom w:type="dxa" w:w="80"/>
              <w:right w:type="dxa" w:w="120"/>
            </w:tcMar>
          </w:tcPr>
          <w:p>
            <w:r>
              <w:rPr>
                <w:rFonts w:ascii="Arial" w:cs="Arial" w:eastAsia="Arial" w:hAnsi="Arial"/>
                <w:sz w:val="20"/>
                <w:szCs w:val="20"/>
              </w:rPr>
              <w:t xml:space="preserve">500+</w:t>
            </w:r>
          </w:p>
        </w:tc>
        <w:tc>
          <w:tcPr>
            <w:tcW w:type="dxa" w:w="3380"/>
            <w:tcBorders>
              <w:top w:val="single" w:color="D0D0D0" w:sz="1"/>
              <w:left w:val="single" w:color="D0D0D0" w:sz="1"/>
              <w:bottom w:val="single" w:color="D0D0D0" w:sz="1"/>
              <w:right w:val="single" w:color="D0D0D0" w:sz="1"/>
            </w:tcBorders>
            <w:shd w:fill="EFF6FF" w:val="clear"/>
            <w:tcMar>
              <w:top w:type="dxa" w:w="80"/>
              <w:left w:type="dxa" w:w="120"/>
              <w:bottom w:type="dxa" w:w="80"/>
              <w:right w:type="dxa" w:w="120"/>
            </w:tcMar>
          </w:tcPr>
          <w:p>
            <w:r>
              <w:rPr>
                <w:rFonts w:ascii="Arial" w:cs="Arial" w:eastAsia="Arial" w:hAnsi="Arial"/>
                <w:sz w:val="20"/>
                <w:szCs w:val="20"/>
              </w:rPr>
              <w:t xml:space="preserve">Top of funnel — are people finding you?</w:t>
            </w:r>
          </w:p>
        </w:tc>
      </w:tr>
      <w:tr>
        <w:tc>
          <w:tcPr>
            <w:tcW w:type="dxa" w:w="26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Trial signups</w:t>
            </w:r>
          </w:p>
        </w:tc>
        <w:tc>
          <w:tcPr>
            <w:tcW w:type="dxa" w:w="33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30–50</w:t>
            </w:r>
          </w:p>
        </w:tc>
        <w:tc>
          <w:tcPr>
            <w:tcW w:type="dxa" w:w="33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Conversion from visitor to trial</w:t>
            </w:r>
          </w:p>
        </w:tc>
      </w:tr>
      <w:tr>
        <w:tc>
          <w:tcPr>
            <w:tcW w:type="dxa" w:w="2600"/>
            <w:tcBorders>
              <w:top w:val="single" w:color="D0D0D0" w:sz="1"/>
              <w:left w:val="single" w:color="D0D0D0" w:sz="1"/>
              <w:bottom w:val="single" w:color="D0D0D0" w:sz="1"/>
              <w:right w:val="single" w:color="D0D0D0" w:sz="1"/>
            </w:tcBorders>
            <w:shd w:fill="EFF6FF" w:val="clear"/>
            <w:tcMar>
              <w:top w:type="dxa" w:w="80"/>
              <w:left w:type="dxa" w:w="120"/>
              <w:bottom w:type="dxa" w:w="80"/>
              <w:right w:type="dxa" w:w="120"/>
            </w:tcMar>
          </w:tcPr>
          <w:p>
            <w:r>
              <w:rPr>
                <w:rFonts w:ascii="Arial" w:cs="Arial" w:eastAsia="Arial" w:hAnsi="Arial"/>
                <w:sz w:val="20"/>
                <w:szCs w:val="20"/>
              </w:rPr>
              <w:t xml:space="preserve">Trial-to-paid rate</w:t>
            </w:r>
          </w:p>
        </w:tc>
        <w:tc>
          <w:tcPr>
            <w:tcW w:type="dxa" w:w="3380"/>
            <w:tcBorders>
              <w:top w:val="single" w:color="D0D0D0" w:sz="1"/>
              <w:left w:val="single" w:color="D0D0D0" w:sz="1"/>
              <w:bottom w:val="single" w:color="D0D0D0" w:sz="1"/>
              <w:right w:val="single" w:color="D0D0D0" w:sz="1"/>
            </w:tcBorders>
            <w:shd w:fill="EFF6FF" w:val="clear"/>
            <w:tcMar>
              <w:top w:type="dxa" w:w="80"/>
              <w:left w:type="dxa" w:w="120"/>
              <w:bottom w:type="dxa" w:w="80"/>
              <w:right w:type="dxa" w:w="120"/>
            </w:tcMar>
          </w:tcPr>
          <w:p>
            <w:r>
              <w:rPr>
                <w:rFonts w:ascii="Arial" w:cs="Arial" w:eastAsia="Arial" w:hAnsi="Arial"/>
                <w:sz w:val="20"/>
                <w:szCs w:val="20"/>
              </w:rPr>
              <w:t xml:space="preserve">10–15%</w:t>
            </w:r>
          </w:p>
        </w:tc>
        <w:tc>
          <w:tcPr>
            <w:tcW w:type="dxa" w:w="3380"/>
            <w:tcBorders>
              <w:top w:val="single" w:color="D0D0D0" w:sz="1"/>
              <w:left w:val="single" w:color="D0D0D0" w:sz="1"/>
              <w:bottom w:val="single" w:color="D0D0D0" w:sz="1"/>
              <w:right w:val="single" w:color="D0D0D0" w:sz="1"/>
            </w:tcBorders>
            <w:shd w:fill="EFF6FF" w:val="clear"/>
            <w:tcMar>
              <w:top w:type="dxa" w:w="80"/>
              <w:left w:type="dxa" w:w="120"/>
              <w:bottom w:type="dxa" w:w="80"/>
              <w:right w:type="dxa" w:w="120"/>
            </w:tcMar>
          </w:tcPr>
          <w:p>
            <w:r>
              <w:rPr>
                <w:rFonts w:ascii="Arial" w:cs="Arial" w:eastAsia="Arial" w:hAnsi="Arial"/>
                <w:sz w:val="20"/>
                <w:szCs w:val="20"/>
              </w:rPr>
              <w:t xml:space="preserve">Product-market fit signal</w:t>
            </w:r>
          </w:p>
        </w:tc>
      </w:tr>
      <w:tr>
        <w:tc>
          <w:tcPr>
            <w:tcW w:type="dxa" w:w="26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Demo calls booked</w:t>
            </w:r>
          </w:p>
        </w:tc>
        <w:tc>
          <w:tcPr>
            <w:tcW w:type="dxa" w:w="33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10–15</w:t>
            </w:r>
          </w:p>
        </w:tc>
        <w:tc>
          <w:tcPr>
            <w:tcW w:type="dxa" w:w="33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High-intent leads</w:t>
            </w:r>
          </w:p>
        </w:tc>
      </w:tr>
      <w:tr>
        <w:tc>
          <w:tcPr>
            <w:tcW w:type="dxa" w:w="2600"/>
            <w:tcBorders>
              <w:top w:val="single" w:color="D0D0D0" w:sz="1"/>
              <w:left w:val="single" w:color="D0D0D0" w:sz="1"/>
              <w:bottom w:val="single" w:color="D0D0D0" w:sz="1"/>
              <w:right w:val="single" w:color="D0D0D0" w:sz="1"/>
            </w:tcBorders>
            <w:shd w:fill="EFF6FF" w:val="clear"/>
            <w:tcMar>
              <w:top w:type="dxa" w:w="80"/>
              <w:left w:type="dxa" w:w="120"/>
              <w:bottom w:type="dxa" w:w="80"/>
              <w:right w:type="dxa" w:w="120"/>
            </w:tcMar>
          </w:tcPr>
          <w:p>
            <w:r>
              <w:rPr>
                <w:rFonts w:ascii="Arial" w:cs="Arial" w:eastAsia="Arial" w:hAnsi="Arial"/>
                <w:sz w:val="20"/>
                <w:szCs w:val="20"/>
              </w:rPr>
              <w:t xml:space="preserve">LinkedIn connections</w:t>
            </w:r>
          </w:p>
        </w:tc>
        <w:tc>
          <w:tcPr>
            <w:tcW w:type="dxa" w:w="3380"/>
            <w:tcBorders>
              <w:top w:val="single" w:color="D0D0D0" w:sz="1"/>
              <w:left w:val="single" w:color="D0D0D0" w:sz="1"/>
              <w:bottom w:val="single" w:color="D0D0D0" w:sz="1"/>
              <w:right w:val="single" w:color="D0D0D0" w:sz="1"/>
            </w:tcBorders>
            <w:shd w:fill="EFF6FF" w:val="clear"/>
            <w:tcMar>
              <w:top w:type="dxa" w:w="80"/>
              <w:left w:type="dxa" w:w="120"/>
              <w:bottom w:type="dxa" w:w="80"/>
              <w:right w:type="dxa" w:w="120"/>
            </w:tcMar>
          </w:tcPr>
          <w:p>
            <w:r>
              <w:rPr>
                <w:rFonts w:ascii="Arial" w:cs="Arial" w:eastAsia="Arial" w:hAnsi="Arial"/>
                <w:sz w:val="20"/>
                <w:szCs w:val="20"/>
              </w:rPr>
              <w:t xml:space="preserve">200+</w:t>
            </w:r>
          </w:p>
        </w:tc>
        <w:tc>
          <w:tcPr>
            <w:tcW w:type="dxa" w:w="3380"/>
            <w:tcBorders>
              <w:top w:val="single" w:color="D0D0D0" w:sz="1"/>
              <w:left w:val="single" w:color="D0D0D0" w:sz="1"/>
              <w:bottom w:val="single" w:color="D0D0D0" w:sz="1"/>
              <w:right w:val="single" w:color="D0D0D0" w:sz="1"/>
            </w:tcBorders>
            <w:shd w:fill="EFF6FF" w:val="clear"/>
            <w:tcMar>
              <w:top w:type="dxa" w:w="80"/>
              <w:left w:type="dxa" w:w="120"/>
              <w:bottom w:type="dxa" w:w="80"/>
              <w:right w:type="dxa" w:w="120"/>
            </w:tcMar>
          </w:tcPr>
          <w:p>
            <w:r>
              <w:rPr>
                <w:rFonts w:ascii="Arial" w:cs="Arial" w:eastAsia="Arial" w:hAnsi="Arial"/>
                <w:sz w:val="20"/>
                <w:szCs w:val="20"/>
              </w:rPr>
              <w:t xml:space="preserve">Building your audience</w:t>
            </w:r>
          </w:p>
        </w:tc>
      </w:tr>
      <w:tr>
        <w:tc>
          <w:tcPr>
            <w:tcW w:type="dxa" w:w="26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LinkedIn post impressions</w:t>
            </w:r>
          </w:p>
        </w:tc>
        <w:tc>
          <w:tcPr>
            <w:tcW w:type="dxa" w:w="33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5K+</w:t>
            </w:r>
          </w:p>
        </w:tc>
        <w:tc>
          <w:tcPr>
            <w:tcW w:type="dxa" w:w="33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Content resonance</w:t>
            </w:r>
          </w:p>
        </w:tc>
      </w:tr>
      <w:tr>
        <w:tc>
          <w:tcPr>
            <w:tcW w:type="dxa" w:w="2600"/>
            <w:tcBorders>
              <w:top w:val="single" w:color="D0D0D0" w:sz="1"/>
              <w:left w:val="single" w:color="D0D0D0" w:sz="1"/>
              <w:bottom w:val="single" w:color="D0D0D0" w:sz="1"/>
              <w:right w:val="single" w:color="D0D0D0" w:sz="1"/>
            </w:tcBorders>
            <w:shd w:fill="EFF6FF" w:val="clear"/>
            <w:tcMar>
              <w:top w:type="dxa" w:w="80"/>
              <w:left w:type="dxa" w:w="120"/>
              <w:bottom w:type="dxa" w:w="80"/>
              <w:right w:type="dxa" w:w="120"/>
            </w:tcMar>
          </w:tcPr>
          <w:p>
            <w:r>
              <w:rPr>
                <w:rFonts w:ascii="Arial" w:cs="Arial" w:eastAsia="Arial" w:hAnsi="Arial"/>
                <w:sz w:val="20"/>
                <w:szCs w:val="20"/>
              </w:rPr>
              <w:t xml:space="preserve">Blog articles published</w:t>
            </w:r>
          </w:p>
        </w:tc>
        <w:tc>
          <w:tcPr>
            <w:tcW w:type="dxa" w:w="3380"/>
            <w:tcBorders>
              <w:top w:val="single" w:color="D0D0D0" w:sz="1"/>
              <w:left w:val="single" w:color="D0D0D0" w:sz="1"/>
              <w:bottom w:val="single" w:color="D0D0D0" w:sz="1"/>
              <w:right w:val="single" w:color="D0D0D0" w:sz="1"/>
            </w:tcBorders>
            <w:shd w:fill="EFF6FF" w:val="clear"/>
            <w:tcMar>
              <w:top w:type="dxa" w:w="80"/>
              <w:left w:type="dxa" w:w="120"/>
              <w:bottom w:type="dxa" w:w="80"/>
              <w:right w:type="dxa" w:w="120"/>
            </w:tcMar>
          </w:tcPr>
          <w:p>
            <w:r>
              <w:rPr>
                <w:rFonts w:ascii="Arial" w:cs="Arial" w:eastAsia="Arial" w:hAnsi="Arial"/>
                <w:sz w:val="20"/>
                <w:szCs w:val="20"/>
              </w:rPr>
              <w:t xml:space="preserve">4</w:t>
            </w:r>
          </w:p>
        </w:tc>
        <w:tc>
          <w:tcPr>
            <w:tcW w:type="dxa" w:w="3380"/>
            <w:tcBorders>
              <w:top w:val="single" w:color="D0D0D0" w:sz="1"/>
              <w:left w:val="single" w:color="D0D0D0" w:sz="1"/>
              <w:bottom w:val="single" w:color="D0D0D0" w:sz="1"/>
              <w:right w:val="single" w:color="D0D0D0" w:sz="1"/>
            </w:tcBorders>
            <w:shd w:fill="EFF6FF" w:val="clear"/>
            <w:tcMar>
              <w:top w:type="dxa" w:w="80"/>
              <w:left w:type="dxa" w:w="120"/>
              <w:bottom w:type="dxa" w:w="80"/>
              <w:right w:type="dxa" w:w="120"/>
            </w:tcMar>
          </w:tcPr>
          <w:p>
            <w:r>
              <w:rPr>
                <w:rFonts w:ascii="Arial" w:cs="Arial" w:eastAsia="Arial" w:hAnsi="Arial"/>
                <w:sz w:val="20"/>
                <w:szCs w:val="20"/>
              </w:rPr>
              <w:t xml:space="preserve">SEO foundation</w:t>
            </w:r>
          </w:p>
        </w:tc>
      </w:tr>
      <w:tr>
        <w:tc>
          <w:tcPr>
            <w:tcW w:type="dxa" w:w="26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Churn rate</w:t>
            </w:r>
          </w:p>
        </w:tc>
        <w:tc>
          <w:tcPr>
            <w:tcW w:type="dxa" w:w="33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&lt;5%/month</w:t>
            </w:r>
          </w:p>
        </w:tc>
        <w:tc>
          <w:tcPr>
            <w:tcW w:type="dxa" w:w="33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Retention health</w:t>
            </w:r>
          </w:p>
        </w:tc>
      </w:tr>
    </w:tbl>
    <w:p>
      <w:pPr>
        <w:pBdr>
          <w:bottom w:val="single" w:color="DBEAFE" w:sz="4" w:space="8"/>
        </w:pBdr>
        <w:spacing w:after="200" w:before="200"/>
      </w:pPr>
    </w:p>
    <w:p>
      <w:r>
        <w:br w:type="page"/>
      </w:r>
    </w:p>
    <w:p>
      <w:pPr>
        <w:pStyle w:val="Heading1"/>
        <w:spacing w:after="200" w:before="300"/>
      </w:pPr>
      <w:r>
        <w:t xml:space="preserve">7. Quick Wins You Can Do This Week</w:t>
      </w:r>
    </w:p>
    <w:p>
      <w:pPr>
        <w:spacing w:after="160" w:line="276"/>
      </w:pPr>
      <w:r>
        <w:t xml:space="preserve">If you do nothing else from this plan, do these five things:</w:t>
      </w:r>
    </w:p>
    <w:p>
      <w:pPr>
        <w:pStyle w:val="ListParagraph"/>
        <w:numPr>
          <w:ilvl w:val="0"/>
          <w:numId w:val="5"/>
        </w:numPr>
        <w:spacing w:after="80" w:line="276"/>
      </w:pPr>
      <w:r>
        <w:rPr>
          <w:b/>
          <w:bCs/>
        </w:rPr>
        <w:t xml:space="preserve">Add a clear CTA to your homepage.</w:t>
      </w:r>
      <w:r>
        <w:t xml:space="preserve"> Make sure audit-flows.com has a prominent “Start Free Trial” button above the fold with the pain-point messaging from Section 3.</w:t>
      </w:r>
    </w:p>
    <w:p>
      <w:pPr>
        <w:pStyle w:val="ListParagraph"/>
        <w:numPr>
          <w:ilvl w:val="0"/>
          <w:numId w:val="5"/>
        </w:numPr>
        <w:spacing w:after="80" w:line="276"/>
      </w:pPr>
      <w:r>
        <w:rPr>
          <w:b/>
          <w:bCs/>
        </w:rPr>
        <w:t xml:space="preserve">Set up a Calendly link for demo calls.</w:t>
      </w:r>
      <w:r>
        <w:t xml:space="preserve"> 15-minute slots. Link it everywhere — LinkedIn bio, email signature, website.</w:t>
      </w:r>
    </w:p>
    <w:p>
      <w:pPr>
        <w:pStyle w:val="ListParagraph"/>
        <w:numPr>
          <w:ilvl w:val="0"/>
          <w:numId w:val="5"/>
        </w:numPr>
        <w:spacing w:after="80" w:line="276"/>
      </w:pPr>
      <w:r>
        <w:rPr>
          <w:b/>
          <w:bCs/>
        </w:rPr>
        <w:t xml:space="preserve">Write and schedule your first 5 LinkedIn posts.</w:t>
      </w:r>
      <w:r>
        <w:t xml:space="preserve"> Batch them on a Sunday evening. Use the templates from Section 4 as starting points.</w:t>
      </w:r>
    </w:p>
    <w:p>
      <w:pPr>
        <w:pStyle w:val="ListParagraph"/>
        <w:numPr>
          <w:ilvl w:val="0"/>
          <w:numId w:val="5"/>
        </w:numPr>
        <w:spacing w:after="80" w:line="276"/>
      </w:pPr>
      <w:r>
        <w:rPr>
          <w:b/>
          <w:bCs/>
        </w:rPr>
        <w:t xml:space="preserve">Send 20 LinkedIn connection requests today.</w:t>
      </w:r>
      <w:r>
        <w:t xml:space="preserve"> Search for “Compliance Manager” at companies with 50–500 employees. Use the connection template from Section 4.</w:t>
      </w:r>
    </w:p>
    <w:p>
      <w:pPr>
        <w:pStyle w:val="ListParagraph"/>
        <w:numPr>
          <w:ilvl w:val="0"/>
          <w:numId w:val="5"/>
        </w:numPr>
        <w:spacing w:after="80" w:line="276"/>
      </w:pPr>
      <w:r>
        <w:rPr>
          <w:b/>
          <w:bCs/>
        </w:rPr>
        <w:t xml:space="preserve">Ask your beta testers for a one-sentence testimonial.</w:t>
      </w:r>
      <w:r>
        <w:t xml:space="preserve"> Send them a message: “Hey — if AuditFlows has been useful, would you mind giving me a one-liner I can use on the website? Totally okay if not.”</w:t>
      </w:r>
    </w:p>
    <w:p>
      <w:pPr>
        <w:pBdr>
          <w:bottom w:val="single" w:color="DBEAFE" w:sz="4" w:space="8"/>
        </w:pBdr>
        <w:spacing w:after="200" w:before="200"/>
      </w:pPr>
    </w:p>
    <w:p>
      <w:pPr>
        <w:pStyle w:val="Heading1"/>
        <w:spacing w:after="200" w:before="300"/>
      </w:pPr>
      <w:r>
        <w:t xml:space="preserve">8. 90-Day Milestone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D0D0D0" w:sz="1"/>
              <w:left w:val="single" w:color="D0D0D0" w:sz="1"/>
              <w:bottom w:val="single" w:color="D0D0D0" w:sz="1"/>
              <w:right w:val="single" w:color="D0D0D0"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Timeline</w:t>
            </w:r>
          </w:p>
        </w:tc>
        <w:tc>
          <w:tcPr>
            <w:tcW w:type="dxa" w:w="3780"/>
            <w:tcBorders>
              <w:top w:val="single" w:color="D0D0D0" w:sz="1"/>
              <w:left w:val="single" w:color="D0D0D0" w:sz="1"/>
              <w:bottom w:val="single" w:color="D0D0D0" w:sz="1"/>
              <w:right w:val="single" w:color="D0D0D0"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Goal</w:t>
            </w:r>
          </w:p>
        </w:tc>
        <w:tc>
          <w:tcPr>
            <w:tcW w:type="dxa" w:w="3780"/>
            <w:tcBorders>
              <w:top w:val="single" w:color="D0D0D0" w:sz="1"/>
              <w:left w:val="single" w:color="D0D0D0" w:sz="1"/>
              <w:bottom w:val="single" w:color="D0D0D0" w:sz="1"/>
              <w:right w:val="single" w:color="D0D0D0"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Key Activities</w:t>
            </w:r>
          </w:p>
        </w:tc>
      </w:tr>
      <w:tr>
        <w:tc>
          <w:tcPr>
            <w:tcW w:type="dxa" w:w="1800"/>
            <w:tcBorders>
              <w:top w:val="single" w:color="D0D0D0" w:sz="1"/>
              <w:left w:val="single" w:color="D0D0D0" w:sz="1"/>
              <w:bottom w:val="single" w:color="D0D0D0" w:sz="1"/>
              <w:right w:val="single" w:color="D0D0D0" w:sz="1"/>
            </w:tcBorders>
            <w:shd w:fill="EFF6FF" w:val="clear"/>
            <w:tcMar>
              <w:top w:type="dxa" w:w="80"/>
              <w:left w:type="dxa" w:w="120"/>
              <w:bottom w:type="dxa" w:w="80"/>
              <w:right w:type="dxa" w:w="120"/>
            </w:tcMar>
          </w:tcPr>
          <w:p>
            <w:r>
              <w:rPr>
                <w:rFonts w:ascii="Arial" w:cs="Arial" w:eastAsia="Arial" w:hAnsi="Arial"/>
                <w:sz w:val="20"/>
                <w:szCs w:val="20"/>
              </w:rPr>
              <w:t xml:space="preserve">Days 1–30</w:t>
            </w:r>
          </w:p>
        </w:tc>
        <w:tc>
          <w:tcPr>
            <w:tcW w:type="dxa" w:w="3780"/>
            <w:tcBorders>
              <w:top w:val="single" w:color="D0D0D0" w:sz="1"/>
              <w:left w:val="single" w:color="D0D0D0" w:sz="1"/>
              <w:bottom w:val="single" w:color="D0D0D0" w:sz="1"/>
              <w:right w:val="single" w:color="D0D0D0" w:sz="1"/>
            </w:tcBorders>
            <w:shd w:fill="EFF6FF" w:val="clear"/>
            <w:tcMar>
              <w:top w:type="dxa" w:w="80"/>
              <w:left w:type="dxa" w:w="120"/>
              <w:bottom w:type="dxa" w:w="80"/>
              <w:right w:type="dxa" w:w="120"/>
            </w:tcMar>
          </w:tcPr>
          <w:p>
            <w:r>
              <w:rPr>
                <w:rFonts w:ascii="Arial" w:cs="Arial" w:eastAsia="Arial" w:hAnsi="Arial"/>
                <w:sz w:val="20"/>
                <w:szCs w:val="20"/>
              </w:rPr>
              <w:t xml:space="preserve">10 paying customers</w:t>
            </w:r>
          </w:p>
        </w:tc>
        <w:tc>
          <w:tcPr>
            <w:tcW w:type="dxa" w:w="3780"/>
            <w:tcBorders>
              <w:top w:val="single" w:color="D0D0D0" w:sz="1"/>
              <w:left w:val="single" w:color="D0D0D0" w:sz="1"/>
              <w:bottom w:val="single" w:color="D0D0D0" w:sz="1"/>
              <w:right w:val="single" w:color="D0D0D0" w:sz="1"/>
            </w:tcBorders>
            <w:shd w:fill="EFF6FF" w:val="clear"/>
            <w:tcMar>
              <w:top w:type="dxa" w:w="80"/>
              <w:left w:type="dxa" w:w="120"/>
              <w:bottom w:type="dxa" w:w="80"/>
              <w:right w:type="dxa" w:w="120"/>
            </w:tcMar>
          </w:tcPr>
          <w:p>
            <w:r>
              <w:rPr>
                <w:rFonts w:ascii="Arial" w:cs="Arial" w:eastAsia="Arial" w:hAnsi="Arial"/>
                <w:sz w:val="20"/>
                <w:szCs w:val="20"/>
              </w:rPr>
              <w:t xml:space="preserve">LinkedIn outreach, beta user conversion, Product Hunt launch</w:t>
            </w:r>
          </w:p>
        </w:tc>
      </w:tr>
      <w:tr>
        <w:tc>
          <w:tcPr>
            <w:tcW w:type="dxa" w:w="1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Days 31–60</w:t>
            </w:r>
          </w:p>
        </w:tc>
        <w:tc>
          <w:tcPr>
            <w:tcW w:type="dxa" w:w="37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30 paying customers</w:t>
            </w:r>
          </w:p>
        </w:tc>
        <w:tc>
          <w:tcPr>
            <w:tcW w:type="dxa" w:w="37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Blog SEO gaining traction, referral partnerships active, cold email at scale</w:t>
            </w:r>
          </w:p>
        </w:tc>
      </w:tr>
      <w:tr>
        <w:tc>
          <w:tcPr>
            <w:tcW w:type="dxa" w:w="1800"/>
            <w:tcBorders>
              <w:top w:val="single" w:color="D0D0D0" w:sz="1"/>
              <w:left w:val="single" w:color="D0D0D0" w:sz="1"/>
              <w:bottom w:val="single" w:color="D0D0D0" w:sz="1"/>
              <w:right w:val="single" w:color="D0D0D0" w:sz="1"/>
            </w:tcBorders>
            <w:shd w:fill="EFF6FF" w:val="clear"/>
            <w:tcMar>
              <w:top w:type="dxa" w:w="80"/>
              <w:left w:type="dxa" w:w="120"/>
              <w:bottom w:type="dxa" w:w="80"/>
              <w:right w:type="dxa" w:w="120"/>
            </w:tcMar>
          </w:tcPr>
          <w:p>
            <w:r>
              <w:rPr>
                <w:rFonts w:ascii="Arial" w:cs="Arial" w:eastAsia="Arial" w:hAnsi="Arial"/>
                <w:sz w:val="20"/>
                <w:szCs w:val="20"/>
              </w:rPr>
              <w:t xml:space="preserve">Days 61–90</w:t>
            </w:r>
          </w:p>
        </w:tc>
        <w:tc>
          <w:tcPr>
            <w:tcW w:type="dxa" w:w="3780"/>
            <w:tcBorders>
              <w:top w:val="single" w:color="D0D0D0" w:sz="1"/>
              <w:left w:val="single" w:color="D0D0D0" w:sz="1"/>
              <w:bottom w:val="single" w:color="D0D0D0" w:sz="1"/>
              <w:right w:val="single" w:color="D0D0D0" w:sz="1"/>
            </w:tcBorders>
            <w:shd w:fill="EFF6FF" w:val="clear"/>
            <w:tcMar>
              <w:top w:type="dxa" w:w="80"/>
              <w:left w:type="dxa" w:w="120"/>
              <w:bottom w:type="dxa" w:w="80"/>
              <w:right w:type="dxa" w:w="120"/>
            </w:tcMar>
          </w:tcPr>
          <w:p>
            <w:r>
              <w:rPr>
                <w:rFonts w:ascii="Arial" w:cs="Arial" w:eastAsia="Arial" w:hAnsi="Arial"/>
                <w:sz w:val="20"/>
                <w:szCs w:val="20"/>
              </w:rPr>
              <w:t xml:space="preserve">50–100 paying customers</w:t>
            </w:r>
          </w:p>
        </w:tc>
        <w:tc>
          <w:tcPr>
            <w:tcW w:type="dxa" w:w="3780"/>
            <w:tcBorders>
              <w:top w:val="single" w:color="D0D0D0" w:sz="1"/>
              <w:left w:val="single" w:color="D0D0D0" w:sz="1"/>
              <w:bottom w:val="single" w:color="D0D0D0" w:sz="1"/>
              <w:right w:val="single" w:color="D0D0D0" w:sz="1"/>
            </w:tcBorders>
            <w:shd w:fill="EFF6FF" w:val="clear"/>
            <w:tcMar>
              <w:top w:type="dxa" w:w="80"/>
              <w:left w:type="dxa" w:w="120"/>
              <w:bottom w:type="dxa" w:w="80"/>
              <w:right w:type="dxa" w:w="120"/>
            </w:tcMar>
          </w:tcPr>
          <w:p>
            <w:r>
              <w:rPr>
                <w:rFonts w:ascii="Arial" w:cs="Arial" w:eastAsia="Arial" w:hAnsi="Arial"/>
                <w:sz w:val="20"/>
                <w:szCs w:val="20"/>
              </w:rPr>
              <w:t xml:space="preserve">Case studies published, organic inbound growing, consider small ad spend ($200–500/mo)</w:t>
            </w:r>
          </w:p>
        </w:tc>
      </w:tr>
    </w:tbl>
    <w:p>
      <w:pPr>
        <w:spacing w:before="300"/>
      </w:pPr>
    </w:p>
    <w:p>
      <w:pPr>
        <w:spacing w:after="160" w:line="276"/>
      </w:pPr>
      <w:r>
        <w:t xml:space="preserve">At $87/month minimum per org (3 seats), 50 customers = $4,350 MRR. That’s enough to justify reinvesting in paid channels and potentially hiring part-time marketing help.</w:t>
      </w:r>
    </w:p>
    <w:p>
      <w:pPr>
        <w:pBdr>
          <w:bottom w:val="single" w:color="DBEAFE" w:sz="4" w:space="8"/>
        </w:pBdr>
        <w:spacing w:after="200" w:before="200"/>
      </w:pPr>
    </w:p>
    <w:p>
      <w:pPr>
        <w:spacing w:before="400"/>
        <w:jc w:val="center"/>
      </w:pPr>
      <w:r>
        <w:rPr>
          <w:i/>
          <w:iCs/>
          <w:color w:val="9CA3AF"/>
          <w:sz w:val="20"/>
          <w:szCs w:val="20"/>
        </w:rPr>
        <w:t xml:space="preserve">Built with purpose by Investiture Labs.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CA3AF"/>
        <w:sz w:val="18"/>
        <w:szCs w:val="18"/>
      </w:rPr>
      <w:t xml:space="preserve">Page </w:t>
    </w:r>
    <w:r>
      <w:rPr>
        <w:color w:val="9CA3A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9CA3AF"/>
        <w:sz w:val="18"/>
        <w:szCs w:val="18"/>
      </w:rPr>
      <w:t xml:space="preserve">AuditFlows — Go-to-Market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56DB"/>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E40AF"/>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2026-03-06T02:03:21.276Z</dcterms:created>
  <dcterms:modified xsi:type="dcterms:W3CDTF">2026-03-06T02:03:21.277Z</dcterms:modified>
</cp:coreProperties>
</file>

<file path=docProps/custom.xml><?xml version="1.0" encoding="utf-8"?>
<Properties xmlns="http://schemas.openxmlformats.org/officeDocument/2006/custom-properties" xmlns:vt="http://schemas.openxmlformats.org/officeDocument/2006/docPropsVTypes"/>
</file>