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0A7B6C"/>
          <w:sz w:val="52"/>
          <w:szCs w:val="52"/>
        </w:rPr>
        <w:t xml:space="preserve">Grundsteuer-Monitor</w:t>
      </w:r>
    </w:p>
    <w:p>
      <w:pPr>
        <w:spacing w:after="60"/>
      </w:pPr>
      <w:r>
        <w:rPr>
          <w:rFonts w:ascii="Arial" w:cs="Arial" w:eastAsia="Arial" w:hAnsi="Arial"/>
          <w:color w:val="0D1B2A"/>
          <w:sz w:val="32"/>
          <w:szCs w:val="32"/>
        </w:rPr>
        <w:t xml:space="preserve">Rechtliche Dokumente</w:t>
      </w:r>
    </w:p>
    <w:p>
      <w:pPr>
        <w:spacing w:after="400"/>
      </w:pPr>
      <w:r>
        <w:rPr>
          <w:rFonts w:ascii="Arial" w:cs="Arial" w:eastAsia="Arial" w:hAnsi="Arial"/>
          <w:i/>
          <w:iCs/>
          <w:color w:val="64748B"/>
          <w:sz w:val="22"/>
          <w:szCs w:val="22"/>
        </w:rPr>
        <w:t xml:space="preserve">AGB  ·  Datenschutzerklärung  ·  Widerrufsbelehrung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D1E8E4" w:sz="1"/>
              <w:left w:val="single" w:color="D1E8E4" w:sz="1"/>
              <w:bottom w:val="single" w:color="D1E8E4" w:sz="1"/>
              <w:right w:val="single" w:color="D1E8E4" w:sz="1"/>
            </w:tcBorders>
            <w:shd w:fill="E8F4F1" w:val="clear"/>
            <w:tcMar>
              <w:top w:type="dxa" w:w="120"/>
              <w:left w:type="dxa" w:w="160"/>
              <w:bottom w:type="dxa" w:w="120"/>
              <w:right w:type="dxa" w:w="160"/>
            </w:tcMar>
          </w:tcPr>
          <w:p>
            <w:pPr>
              <w:spacing w:after="40"/>
            </w:pPr>
            <w:r>
              <w:rPr>
                <w:rFonts w:ascii="Arial" w:cs="Arial" w:eastAsia="Arial" w:hAnsi="Arial"/>
                <w:color w:val="64748B"/>
                <w:sz w:val="16"/>
                <w:szCs w:val="16"/>
              </w:rPr>
              <w:t xml:space="preserve">Anbieter</w:t>
            </w:r>
          </w:p>
          <w:p>
            <w:r>
              <w:rPr>
                <w:rFonts w:ascii="Arial" w:cs="Arial" w:eastAsia="Arial" w:hAnsi="Arial"/>
                <w:b/>
                <w:bCs/>
                <w:color w:val="0D1B2A"/>
                <w:sz w:val="18"/>
                <w:szCs w:val="18"/>
              </w:rPr>
              <w:t xml:space="preserve">Markus Brand</w:t>
            </w:r>
          </w:p>
        </w:tc>
        <w:tc>
          <w:tcPr>
            <w:tcW w:type="dxa" w:w="2200"/>
            <w:tcBorders>
              <w:top w:val="single" w:color="D1E8E4" w:sz="1"/>
              <w:left w:val="single" w:color="D1E8E4" w:sz="1"/>
              <w:bottom w:val="single" w:color="D1E8E4" w:sz="1"/>
              <w:right w:val="single" w:color="D1E8E4" w:sz="1"/>
            </w:tcBorders>
            <w:shd w:fill="E8F4F1" w:val="clear"/>
            <w:tcMar>
              <w:top w:type="dxa" w:w="120"/>
              <w:left w:type="dxa" w:w="160"/>
              <w:bottom w:type="dxa" w:w="120"/>
              <w:right w:type="dxa" w:w="160"/>
            </w:tcMar>
          </w:tcPr>
          <w:p>
            <w:pPr>
              <w:spacing w:after="40"/>
            </w:pPr>
            <w:r>
              <w:rPr>
                <w:rFonts w:ascii="Arial" w:cs="Arial" w:eastAsia="Arial" w:hAnsi="Arial"/>
                <w:color w:val="64748B"/>
                <w:sz w:val="16"/>
                <w:szCs w:val="16"/>
              </w:rPr>
              <w:t xml:space="preserve">Produkt</w:t>
            </w:r>
          </w:p>
          <w:p>
            <w:r>
              <w:rPr>
                <w:rFonts w:ascii="Arial" w:cs="Arial" w:eastAsia="Arial" w:hAnsi="Arial"/>
                <w:b/>
                <w:bCs/>
                <w:color w:val="0D1B2A"/>
                <w:sz w:val="18"/>
                <w:szCs w:val="18"/>
              </w:rPr>
              <w:t xml:space="preserve">Grundsteuer-Monitor</w:t>
            </w:r>
          </w:p>
        </w:tc>
        <w:tc>
          <w:tcPr>
            <w:tcW w:type="dxa" w:w="2200"/>
            <w:tcBorders>
              <w:top w:val="single" w:color="D1E8E4" w:sz="1"/>
              <w:left w:val="single" w:color="D1E8E4" w:sz="1"/>
              <w:bottom w:val="single" w:color="D1E8E4" w:sz="1"/>
              <w:right w:val="single" w:color="D1E8E4" w:sz="1"/>
            </w:tcBorders>
            <w:shd w:fill="E8F4F1" w:val="clear"/>
            <w:tcMar>
              <w:top w:type="dxa" w:w="120"/>
              <w:left w:type="dxa" w:w="160"/>
              <w:bottom w:type="dxa" w:w="120"/>
              <w:right w:type="dxa" w:w="160"/>
            </w:tcMar>
          </w:tcPr>
          <w:p>
            <w:pPr>
              <w:spacing w:after="40"/>
            </w:pPr>
            <w:r>
              <w:rPr>
                <w:rFonts w:ascii="Arial" w:cs="Arial" w:eastAsia="Arial" w:hAnsi="Arial"/>
                <w:color w:val="64748B"/>
                <w:sz w:val="16"/>
                <w:szCs w:val="16"/>
              </w:rPr>
              <w:t xml:space="preserve">Version</w:t>
            </w:r>
          </w:p>
          <w:p>
            <w:r>
              <w:rPr>
                <w:rFonts w:ascii="Arial" w:cs="Arial" w:eastAsia="Arial" w:hAnsi="Arial"/>
                <w:b/>
                <w:bCs/>
                <w:color w:val="0D1B2A"/>
                <w:sz w:val="18"/>
                <w:szCs w:val="18"/>
              </w:rPr>
              <w:t xml:space="preserve">1.0 — März 2026</w:t>
            </w:r>
          </w:p>
        </w:tc>
        <w:tc>
          <w:tcPr>
            <w:tcW w:type="dxa" w:w="2426"/>
            <w:tcBorders>
              <w:top w:val="single" w:color="D1E8E4" w:sz="1"/>
              <w:left w:val="single" w:color="D1E8E4" w:sz="1"/>
              <w:bottom w:val="single" w:color="D1E8E4" w:sz="1"/>
              <w:right w:val="single" w:color="D1E8E4" w:sz="1"/>
            </w:tcBorders>
            <w:shd w:fill="E8F4F1" w:val="clear"/>
            <w:tcMar>
              <w:top w:type="dxa" w:w="120"/>
              <w:left w:type="dxa" w:w="160"/>
              <w:bottom w:type="dxa" w:w="120"/>
              <w:right w:type="dxa" w:w="160"/>
            </w:tcMar>
          </w:tcPr>
          <w:p>
            <w:pPr>
              <w:spacing w:after="40"/>
            </w:pPr>
            <w:r>
              <w:rPr>
                <w:rFonts w:ascii="Arial" w:cs="Arial" w:eastAsia="Arial" w:hAnsi="Arial"/>
                <w:color w:val="64748B"/>
                <w:sz w:val="16"/>
                <w:szCs w:val="16"/>
              </w:rPr>
              <w:t xml:space="preserve">Rechtsform</w:t>
            </w:r>
          </w:p>
          <w:p>
            <w:r>
              <w:rPr>
                <w:rFonts w:ascii="Arial" w:cs="Arial" w:eastAsia="Arial" w:hAnsi="Arial"/>
                <w:b/>
                <w:bCs/>
                <w:color w:val="0D1B2A"/>
                <w:sz w:val="18"/>
                <w:szCs w:val="18"/>
              </w:rPr>
              <w:t xml:space="preserve">Kleingewerbe §19 UStG</w:t>
            </w:r>
          </w:p>
        </w:tc>
      </w:tr>
    </w:tbl>
    <w:p>
      <w:pPr>
        <w:spacing w:after="80" w:before="240"/>
      </w:pPr>
      <w:r>
        <w:rPr>
          <w:rFonts w:ascii="Arial" w:cs="Arial" w:eastAsia="Arial" w:hAnsi="Arial"/>
          <w:i/>
          <w:iCs/>
          <w:color w:val="92400E"/>
          <w:sz w:val="18"/>
          <w:szCs w:val="18"/>
        </w:rPr>
        <w:t xml:space="preserve">⚠️  Hinweis: Dieses Dokument wurde mit KI-Unterstützung erstellt und dient als Vorlage. Es ersetzt keine Rechtsberatung. Lassen Sie diese Dokumente vor dem ersten Einsatz von einem Rechtsanwalt prüfen.</w:t>
      </w:r>
    </w:p>
    <w:p>
      <w:pPr>
        <w:pBdr>
          <w:bottom w:val="single" w:color="D1E8E4" w:sz="4"/>
        </w:pBdr>
        <w:spacing w:after="160" w:before="160"/>
      </w:pPr>
    </w:p>
    <w:p>
      <w:pPr>
        <w:spacing w:after="160" w:before="240"/>
      </w:pPr>
      <w:r>
        <w:rPr>
          <w:rFonts w:ascii="Arial" w:cs="Arial" w:eastAsia="Arial" w:hAnsi="Arial"/>
          <w:b/>
          <w:bCs/>
          <w:color w:val="0A7B6C"/>
          <w:spacing w:val="120"/>
          <w:sz w:val="18"/>
          <w:szCs w:val="18"/>
        </w:rPr>
        <w:t xml:space="preserve">TEIL 1</w:t>
      </w:r>
    </w:p>
    <w:p>
      <w:pPr>
        <w:spacing w:after="240"/>
      </w:pPr>
      <w:r>
        <w:rPr>
          <w:rFonts w:ascii="Arial" w:cs="Arial" w:eastAsia="Arial" w:hAnsi="Arial"/>
          <w:b/>
          <w:bCs/>
          <w:color w:val="0D1B2A"/>
          <w:sz w:val="36"/>
          <w:szCs w:val="36"/>
        </w:rPr>
        <w:t xml:space="preserve">Allgemeine Geschäftsbedingungen (AGB)</w:t>
      </w:r>
    </w:p>
    <w:p>
      <w:pPr>
        <w:pStyle w:val="Heading2"/>
        <w:spacing w:after="80" w:before="240"/>
      </w:pPr>
      <w:r>
        <w:rPr>
          <w:rFonts w:ascii="Arial" w:cs="Arial" w:eastAsia="Arial" w:hAnsi="Arial"/>
          <w:b/>
          <w:bCs/>
          <w:color w:val="0D1B2A"/>
          <w:sz w:val="24"/>
          <w:szCs w:val="24"/>
        </w:rPr>
        <w:t xml:space="preserve">§ 1  Geltungsbereich</w:t>
      </w:r>
    </w:p>
    <w:p>
      <w:pPr>
        <w:spacing w:after="120"/>
      </w:pPr>
      <w:r>
        <w:rPr>
          <w:rFonts w:ascii="Arial" w:cs="Arial" w:eastAsia="Arial" w:hAnsi="Arial"/>
          <w:b w:val="false"/>
          <w:bCs w:val="false"/>
          <w:i w:val="false"/>
          <w:iCs w:val="false"/>
          <w:color w:val="1E293B"/>
          <w:sz w:val="20"/>
          <w:szCs w:val="20"/>
        </w:rPr>
        <w:t xml:space="preserve">Diese Allgemeinen Geschäftsbedingungen gelten für alle Verträge zwischen Markus Brand, handelnd unter der Bezeichnung Grundsteuer-Monitor (nachfolgend "Anbieter"), und den Kunden (nachfolgend "Nutzer") über die Nutzung des Dienstes Grundsteuer-Monitor.</w:t>
      </w:r>
    </w:p>
    <w:p>
      <w:pPr>
        <w:spacing w:after="120"/>
      </w:pPr>
      <w:r>
        <w:rPr>
          <w:rFonts w:ascii="Arial" w:cs="Arial" w:eastAsia="Arial" w:hAnsi="Arial"/>
          <w:b w:val="false"/>
          <w:bCs w:val="false"/>
          <w:i w:val="false"/>
          <w:iCs w:val="false"/>
          <w:color w:val="1E293B"/>
          <w:sz w:val="20"/>
          <w:szCs w:val="20"/>
        </w:rPr>
        <w:t xml:space="preserve">Abweichende Bedingungen des Nutzers werden nicht anerkannt, es sei denn, der Anbieter stimmt ihrer Geltung ausdrücklich schriftlich zu.</w:t>
      </w:r>
    </w:p>
    <w:p>
      <w:pPr>
        <w:spacing w:after="120"/>
      </w:pPr>
      <w:r>
        <w:rPr>
          <w:rFonts w:ascii="Arial" w:cs="Arial" w:eastAsia="Arial" w:hAnsi="Arial"/>
          <w:b w:val="false"/>
          <w:bCs w:val="false"/>
          <w:i w:val="false"/>
          <w:iCs w:val="false"/>
          <w:color w:val="1E293B"/>
          <w:sz w:val="20"/>
          <w:szCs w:val="20"/>
        </w:rPr>
        <w:t xml:space="preserve">Diese AGB gelten ausschließlich für Unternehmer im Sinne von § 14 BGB, d.h. für natürliche oder juristische Personen, die den Dienst im Rahmen ihrer gewerblichen oder selbstständigen beruflichen Tätigkeit nutzen.</w:t>
      </w:r>
    </w:p>
    <w:p>
      <w:pPr>
        <w:pStyle w:val="Heading2"/>
        <w:spacing w:after="80" w:before="240"/>
      </w:pPr>
      <w:r>
        <w:rPr>
          <w:rFonts w:ascii="Arial" w:cs="Arial" w:eastAsia="Arial" w:hAnsi="Arial"/>
          <w:b/>
          <w:bCs/>
          <w:color w:val="0D1B2A"/>
          <w:sz w:val="24"/>
          <w:szCs w:val="24"/>
        </w:rPr>
        <w:t xml:space="preserve">§ 2  Leistungsbeschreibung</w:t>
      </w:r>
    </w:p>
    <w:p>
      <w:pPr>
        <w:spacing w:after="120"/>
      </w:pPr>
      <w:r>
        <w:rPr>
          <w:rFonts w:ascii="Arial" w:cs="Arial" w:eastAsia="Arial" w:hAnsi="Arial"/>
          <w:b w:val="false"/>
          <w:bCs w:val="false"/>
          <w:i w:val="false"/>
          <w:iCs w:val="false"/>
          <w:color w:val="1E293B"/>
          <w:sz w:val="20"/>
          <w:szCs w:val="20"/>
        </w:rPr>
        <w:t xml:space="preserve">Der Anbieter stellt monatlich einen aktualisierten Datenbericht (nachfolgend "Report") zur Verfügung, der Grundsteuer-Hebesätze deutscher Kommunen enthält. Der Umfang richtet sich nach dem gebuchten Abo-Modell:</w:t>
      </w:r>
    </w:p>
    <w:p>
      <w:pPr>
        <w:pStyle w:val="ListParagraph"/>
        <w:numPr>
          <w:ilvl w:val="0"/>
          <w:numId w:val="2"/>
        </w:numPr>
        <w:spacing w:after="60"/>
      </w:pPr>
      <w:r>
        <w:rPr>
          <w:rFonts w:ascii="Arial" w:cs="Arial" w:eastAsia="Arial" w:hAnsi="Arial"/>
          <w:color w:val="1E293B"/>
          <w:sz w:val="20"/>
          <w:szCs w:val="20"/>
        </w:rPr>
        <w:t xml:space="preserve">Starter (49,00 €/Monat): Report für 1 Bundesland, Lieferung als HTML-Datei per E-Mail, monatliche Aktualisierung</w:t>
      </w:r>
    </w:p>
    <w:p>
      <w:pPr>
        <w:pStyle w:val="ListParagraph"/>
        <w:numPr>
          <w:ilvl w:val="0"/>
          <w:numId w:val="2"/>
        </w:numPr>
        <w:spacing w:after="60"/>
      </w:pPr>
      <w:r>
        <w:rPr>
          <w:rFonts w:ascii="Arial" w:cs="Arial" w:eastAsia="Arial" w:hAnsi="Arial"/>
          <w:color w:val="1E293B"/>
          <w:sz w:val="20"/>
          <w:szCs w:val="20"/>
        </w:rPr>
        <w:t xml:space="preserve">Professional (149,00 €/Monat): Report für 5 Bundesländer, CSV-Export, Lieferung als HTML-Datei und CSV per E-Mail, wöchentliche Aktualisierung</w:t>
      </w:r>
    </w:p>
    <w:p>
      <w:pPr>
        <w:pStyle w:val="ListParagraph"/>
        <w:numPr>
          <w:ilvl w:val="0"/>
          <w:numId w:val="2"/>
        </w:numPr>
        <w:spacing w:after="60"/>
      </w:pPr>
      <w:r>
        <w:rPr>
          <w:rFonts w:ascii="Arial" w:cs="Arial" w:eastAsia="Arial" w:hAnsi="Arial"/>
          <w:color w:val="1E293B"/>
          <w:sz w:val="20"/>
          <w:szCs w:val="20"/>
        </w:rPr>
        <w:t xml:space="preserve">Enterprise (499,00 €/Monat): Report für alle 16 Bundesländer, Echtzeit-API-Zugang, tägliche Aktualisierung, White-Label Option</w:t>
      </w:r>
    </w:p>
    <w:p>
      <w:pPr>
        <w:spacing w:after="120"/>
      </w:pPr>
      <w:r>
        <w:rPr>
          <w:rFonts w:ascii="Arial" w:cs="Arial" w:eastAsia="Arial" w:hAnsi="Arial"/>
          <w:b w:val="false"/>
          <w:bCs w:val="false"/>
          <w:i w:val="false"/>
          <w:iCs w:val="false"/>
          <w:color w:val="1E293B"/>
          <w:sz w:val="20"/>
          <w:szCs w:val="20"/>
        </w:rPr>
        <w:t xml:space="preserve">Alle Daten werden aus öffentlich zugänglichen Quellen (u.a. Finanzämter, Kommunalverwaltungen, Landesbehörden) aggregiert. Der Anbieter übernimmt keine Gewähr für die Vollständigkeit, Richtigkeit oder Aktualität der bereitgestellten Daten.</w:t>
      </w:r>
    </w:p>
    <w:p>
      <w:pPr>
        <w:pStyle w:val="Heading2"/>
        <w:spacing w:after="80" w:before="240"/>
      </w:pPr>
      <w:r>
        <w:rPr>
          <w:rFonts w:ascii="Arial" w:cs="Arial" w:eastAsia="Arial" w:hAnsi="Arial"/>
          <w:b/>
          <w:bCs/>
          <w:color w:val="0D1B2A"/>
          <w:sz w:val="24"/>
          <w:szCs w:val="24"/>
        </w:rPr>
        <w:t xml:space="preserve">§ 3  Vertragsschluss und Laufzeit</w:t>
      </w:r>
    </w:p>
    <w:p>
      <w:pPr>
        <w:spacing w:after="120"/>
      </w:pPr>
      <w:r>
        <w:rPr>
          <w:rFonts w:ascii="Arial" w:cs="Arial" w:eastAsia="Arial" w:hAnsi="Arial"/>
          <w:b w:val="false"/>
          <w:bCs w:val="false"/>
          <w:i w:val="false"/>
          <w:iCs w:val="false"/>
          <w:color w:val="1E293B"/>
          <w:sz w:val="20"/>
          <w:szCs w:val="20"/>
        </w:rPr>
        <w:t xml:space="preserve">Der Vertrag kommt durch Abschluss des Bestellprozesses auf der Website zustande. Der Nutzer gibt durch Abschluss des Bezahlvorgangs ein verbindliches Angebot ab; der Anbieter nimmt dieses durch Bestätigung per E-Mail an.</w:t>
      </w:r>
    </w:p>
    <w:p>
      <w:pPr>
        <w:spacing w:after="120"/>
      </w:pPr>
      <w:r>
        <w:rPr>
          <w:rFonts w:ascii="Arial" w:cs="Arial" w:eastAsia="Arial" w:hAnsi="Arial"/>
          <w:b w:val="false"/>
          <w:bCs w:val="false"/>
          <w:i w:val="false"/>
          <w:iCs w:val="false"/>
          <w:color w:val="1E293B"/>
          <w:sz w:val="20"/>
          <w:szCs w:val="20"/>
        </w:rPr>
        <w:t xml:space="preserve">Das Abonnement wird auf unbestimmte Zeit abgeschlossen und verlängert sich automatisch um einen weiteren Monat, sofern es nicht rechtzeitig gekündigt wird.</w:t>
      </w:r>
    </w:p>
    <w:p>
      <w:pPr>
        <w:spacing w:after="120"/>
      </w:pPr>
      <w:r>
        <w:rPr>
          <w:rFonts w:ascii="Arial" w:cs="Arial" w:eastAsia="Arial" w:hAnsi="Arial"/>
          <w:b w:val="false"/>
          <w:bCs w:val="false"/>
          <w:i w:val="false"/>
          <w:iCs w:val="false"/>
          <w:color w:val="1E293B"/>
          <w:sz w:val="20"/>
          <w:szCs w:val="20"/>
        </w:rPr>
        <w:t xml:space="preserve">Die Mindestlaufzeit beträgt einen Monat ab Vertragsschluss.</w:t>
      </w:r>
    </w:p>
    <w:p>
      <w:pPr>
        <w:pStyle w:val="Heading2"/>
        <w:spacing w:after="80" w:before="240"/>
      </w:pPr>
      <w:r>
        <w:rPr>
          <w:rFonts w:ascii="Arial" w:cs="Arial" w:eastAsia="Arial" w:hAnsi="Arial"/>
          <w:b/>
          <w:bCs/>
          <w:color w:val="0D1B2A"/>
          <w:sz w:val="24"/>
          <w:szCs w:val="24"/>
        </w:rPr>
        <w:t xml:space="preserve">§ 4  Preise und Zahlung</w:t>
      </w:r>
    </w:p>
    <w:p>
      <w:pPr>
        <w:spacing w:after="120"/>
      </w:pPr>
      <w:r>
        <w:rPr>
          <w:rFonts w:ascii="Arial" w:cs="Arial" w:eastAsia="Arial" w:hAnsi="Arial"/>
          <w:b w:val="false"/>
          <w:bCs w:val="false"/>
          <w:i w:val="false"/>
          <w:iCs w:val="false"/>
          <w:color w:val="1E293B"/>
          <w:sz w:val="20"/>
          <w:szCs w:val="20"/>
        </w:rPr>
        <w:t xml:space="preserve">Die aktuell gültigen Preise sind auf der Website grundsteuer-monitor.de ausgewiesen. Alle Preise verstehen sich als Nettopreise. Da der Anbieter die Kleinunternehmerregelung gemäß § 19 UStG in Anspruch nimmt, wird keine Umsatzsteuer erhoben und keine Mehrwertsteuer ausgewiesen.</w:t>
      </w:r>
    </w:p>
    <w:p>
      <w:pPr>
        <w:spacing w:after="120"/>
      </w:pPr>
      <w:r>
        <w:rPr>
          <w:rFonts w:ascii="Arial" w:cs="Arial" w:eastAsia="Arial" w:hAnsi="Arial"/>
          <w:b w:val="false"/>
          <w:bCs w:val="false"/>
          <w:i w:val="false"/>
          <w:iCs w:val="false"/>
          <w:color w:val="1E293B"/>
          <w:sz w:val="20"/>
          <w:szCs w:val="20"/>
        </w:rPr>
        <w:t xml:space="preserve">Die Zahlung erfolgt monatlich im Voraus über den Zahlungsdienstleister Stripe. Der Rechnungsbetrag wird zum jeweiligen Verlängerungsdatum automatisch vom hinterlegten Zahlungsmittel eingezogen.</w:t>
      </w:r>
    </w:p>
    <w:p>
      <w:pPr>
        <w:spacing w:after="120"/>
      </w:pPr>
      <w:r>
        <w:rPr>
          <w:rFonts w:ascii="Arial" w:cs="Arial" w:eastAsia="Arial" w:hAnsi="Arial"/>
          <w:b w:val="false"/>
          <w:bCs w:val="false"/>
          <w:i w:val="false"/>
          <w:iCs w:val="false"/>
          <w:color w:val="1E293B"/>
          <w:sz w:val="20"/>
          <w:szCs w:val="20"/>
        </w:rPr>
        <w:t xml:space="preserve">Bei Zahlungsverzug ist der Anbieter berechtigt, den Zugang zum Dienst bis zum Ausgleich der ausstehenden Beträge zu sperren.</w:t>
      </w:r>
    </w:p>
    <w:p>
      <w:pPr>
        <w:pStyle w:val="Heading2"/>
        <w:spacing w:after="80" w:before="240"/>
      </w:pPr>
      <w:r>
        <w:rPr>
          <w:rFonts w:ascii="Arial" w:cs="Arial" w:eastAsia="Arial" w:hAnsi="Arial"/>
          <w:b/>
          <w:bCs/>
          <w:color w:val="0D1B2A"/>
          <w:sz w:val="24"/>
          <w:szCs w:val="24"/>
        </w:rPr>
        <w:t xml:space="preserve">§ 5  Kündigung</w:t>
      </w:r>
    </w:p>
    <w:p>
      <w:pPr>
        <w:spacing w:after="120"/>
      </w:pPr>
      <w:r>
        <w:rPr>
          <w:rFonts w:ascii="Arial" w:cs="Arial" w:eastAsia="Arial" w:hAnsi="Arial"/>
          <w:b w:val="false"/>
          <w:bCs w:val="false"/>
          <w:i w:val="false"/>
          <w:iCs w:val="false"/>
          <w:color w:val="1E293B"/>
          <w:sz w:val="20"/>
          <w:szCs w:val="20"/>
        </w:rPr>
        <w:t xml:space="preserve">Der Nutzer kann das Abonnement jederzeit mit einer Frist von 14 Tagen zum Ende des laufenden Abrechnungsmonats kündigen. Die Kündigung ist per E-Mail an markus@grundsteuer-monitor.de zu richten.</w:t>
      </w:r>
    </w:p>
    <w:p>
      <w:pPr>
        <w:spacing w:after="120"/>
      </w:pPr>
      <w:r>
        <w:rPr>
          <w:rFonts w:ascii="Arial" w:cs="Arial" w:eastAsia="Arial" w:hAnsi="Arial"/>
          <w:b w:val="false"/>
          <w:bCs w:val="false"/>
          <w:i w:val="false"/>
          <w:iCs w:val="false"/>
          <w:color w:val="1E293B"/>
          <w:sz w:val="20"/>
          <w:szCs w:val="20"/>
        </w:rPr>
        <w:t xml:space="preserve">Der Anbieter kann das Abonnement mit einer Frist von 30 Tagen zum Monatsende kündigen.</w:t>
      </w:r>
    </w:p>
    <w:p>
      <w:pPr>
        <w:spacing w:after="120"/>
      </w:pPr>
      <w:r>
        <w:rPr>
          <w:rFonts w:ascii="Arial" w:cs="Arial" w:eastAsia="Arial" w:hAnsi="Arial"/>
          <w:b w:val="false"/>
          <w:bCs w:val="false"/>
          <w:i w:val="false"/>
          <w:iCs w:val="false"/>
          <w:color w:val="1E293B"/>
          <w:sz w:val="20"/>
          <w:szCs w:val="20"/>
        </w:rPr>
        <w:t xml:space="preserve">Das Recht zur außerordentlichen Kündigung aus wichtigem Grund bleibt unberührt. Ein wichtiger Grund liegt insbesondere vor, wenn der Nutzer die bereitgestellten Daten vertragswidrig weiterverbreitet oder Dritte Zugang zum Dienst verschafft.</w:t>
      </w:r>
    </w:p>
    <w:p>
      <w:pPr>
        <w:pStyle w:val="Heading2"/>
        <w:spacing w:after="80" w:before="240"/>
      </w:pPr>
      <w:r>
        <w:rPr>
          <w:rFonts w:ascii="Arial" w:cs="Arial" w:eastAsia="Arial" w:hAnsi="Arial"/>
          <w:b/>
          <w:bCs/>
          <w:color w:val="0D1B2A"/>
          <w:sz w:val="24"/>
          <w:szCs w:val="24"/>
        </w:rPr>
        <w:t xml:space="preserve">§ 6  Nutzungsrechte und Datenweitergabe</w:t>
      </w:r>
    </w:p>
    <w:p>
      <w:pPr>
        <w:spacing w:after="120"/>
      </w:pPr>
      <w:r>
        <w:rPr>
          <w:rFonts w:ascii="Arial" w:cs="Arial" w:eastAsia="Arial" w:hAnsi="Arial"/>
          <w:b w:val="false"/>
          <w:bCs w:val="false"/>
          <w:i w:val="false"/>
          <w:iCs w:val="false"/>
          <w:color w:val="1E293B"/>
          <w:sz w:val="20"/>
          <w:szCs w:val="20"/>
        </w:rPr>
        <w:t xml:space="preserve">Der Anbieter räumt dem Nutzer ein einfaches, nicht übertragbares Nutzungsrecht an den bereitgestellten Reports ausschließlich für eigene betriebliche Zwecke ein.</w:t>
      </w:r>
    </w:p>
    <w:p>
      <w:pPr>
        <w:spacing w:after="120"/>
      </w:pPr>
      <w:r>
        <w:rPr>
          <w:rFonts w:ascii="Arial" w:cs="Arial" w:eastAsia="Arial" w:hAnsi="Arial"/>
          <w:b w:val="false"/>
          <w:bCs w:val="false"/>
          <w:i w:val="false"/>
          <w:iCs w:val="false"/>
          <w:color w:val="1E293B"/>
          <w:sz w:val="20"/>
          <w:szCs w:val="20"/>
        </w:rPr>
        <w:t xml:space="preserve">Folgendes ist ausdrücklich untersagt:</w:t>
      </w:r>
    </w:p>
    <w:p>
      <w:pPr>
        <w:pStyle w:val="ListParagraph"/>
        <w:numPr>
          <w:ilvl w:val="0"/>
          <w:numId w:val="2"/>
        </w:numPr>
        <w:spacing w:after="60"/>
      </w:pPr>
      <w:r>
        <w:rPr>
          <w:rFonts w:ascii="Arial" w:cs="Arial" w:eastAsia="Arial" w:hAnsi="Arial"/>
          <w:color w:val="1E293B"/>
          <w:sz w:val="20"/>
          <w:szCs w:val="20"/>
        </w:rPr>
        <w:t xml:space="preserve">Weitergabe, Verkauf oder Lizenzierung der Daten an Dritte</w:t>
      </w:r>
    </w:p>
    <w:p>
      <w:pPr>
        <w:pStyle w:val="ListParagraph"/>
        <w:numPr>
          <w:ilvl w:val="0"/>
          <w:numId w:val="2"/>
        </w:numPr>
        <w:spacing w:after="60"/>
      </w:pPr>
      <w:r>
        <w:rPr>
          <w:rFonts w:ascii="Arial" w:cs="Arial" w:eastAsia="Arial" w:hAnsi="Arial"/>
          <w:color w:val="1E293B"/>
          <w:sz w:val="20"/>
          <w:szCs w:val="20"/>
        </w:rPr>
        <w:t xml:space="preserve">Veröffentlichung der Daten auf eigenen oder fremden Plattformen</w:t>
      </w:r>
    </w:p>
    <w:p>
      <w:pPr>
        <w:pStyle w:val="ListParagraph"/>
        <w:numPr>
          <w:ilvl w:val="0"/>
          <w:numId w:val="2"/>
        </w:numPr>
        <w:spacing w:after="60"/>
      </w:pPr>
      <w:r>
        <w:rPr>
          <w:rFonts w:ascii="Arial" w:cs="Arial" w:eastAsia="Arial" w:hAnsi="Arial"/>
          <w:color w:val="1E293B"/>
          <w:sz w:val="20"/>
          <w:szCs w:val="20"/>
        </w:rPr>
        <w:t xml:space="preserve">Nutzung der Daten zur Erstellung konkurrierender Datenprodukte</w:t>
      </w:r>
    </w:p>
    <w:p>
      <w:pPr>
        <w:pStyle w:val="ListParagraph"/>
        <w:numPr>
          <w:ilvl w:val="0"/>
          <w:numId w:val="2"/>
        </w:numPr>
        <w:spacing w:after="60"/>
      </w:pPr>
      <w:r>
        <w:rPr>
          <w:rFonts w:ascii="Arial" w:cs="Arial" w:eastAsia="Arial" w:hAnsi="Arial"/>
          <w:color w:val="1E293B"/>
          <w:sz w:val="20"/>
          <w:szCs w:val="20"/>
        </w:rPr>
        <w:t xml:space="preserve">Automatisierter Abruf der Daten über technische Mittel (Scraping), sofern nicht ausdrücklich vertraglich vereinbart</w:t>
      </w:r>
    </w:p>
    <w:p>
      <w:pPr>
        <w:spacing w:after="120"/>
      </w:pPr>
      <w:r>
        <w:rPr>
          <w:rFonts w:ascii="Arial" w:cs="Arial" w:eastAsia="Arial" w:hAnsi="Arial"/>
          <w:b w:val="false"/>
          <w:bCs w:val="false"/>
          <w:i w:val="false"/>
          <w:iCs w:val="false"/>
          <w:color w:val="1E293B"/>
          <w:sz w:val="20"/>
          <w:szCs w:val="20"/>
        </w:rPr>
        <w:t xml:space="preserve">Bei Verstoß gegen diese Regelungen ist der Anbieter berechtigt, den Vertrag fristlos zu kündigen und Schadensersatz zu fordern.</w:t>
      </w:r>
    </w:p>
    <w:p>
      <w:pPr>
        <w:pStyle w:val="Heading2"/>
        <w:spacing w:after="80" w:before="240"/>
      </w:pPr>
      <w:r>
        <w:rPr>
          <w:rFonts w:ascii="Arial" w:cs="Arial" w:eastAsia="Arial" w:hAnsi="Arial"/>
          <w:b/>
          <w:bCs/>
          <w:color w:val="0D1B2A"/>
          <w:sz w:val="24"/>
          <w:szCs w:val="24"/>
        </w:rPr>
        <w:t xml:space="preserve">§ 7  Haftungsbeschränkung</w:t>
      </w:r>
    </w:p>
    <w:p>
      <w:pPr>
        <w:spacing w:after="120"/>
      </w:pPr>
      <w:r>
        <w:rPr>
          <w:rFonts w:ascii="Arial" w:cs="Arial" w:eastAsia="Arial" w:hAnsi="Arial"/>
          <w:b w:val="false"/>
          <w:bCs w:val="false"/>
          <w:i w:val="false"/>
          <w:iCs w:val="false"/>
          <w:color w:val="1E293B"/>
          <w:sz w:val="20"/>
          <w:szCs w:val="20"/>
        </w:rPr>
        <w:t xml:space="preserve">Die bereitgestellten Daten dienen ausschließlich zur Information und stellen keine Rechts- oder Steuerberatung dar. Der Anbieter übernimmt keine Haftung für Schäden, die aus der Nutzung, der Unvollständigkeit oder der Fehlerhaftigkeit der bereitgestellten Daten entstehen.</w:t>
      </w:r>
    </w:p>
    <w:p>
      <w:pPr>
        <w:spacing w:after="120"/>
      </w:pPr>
      <w:r>
        <w:rPr>
          <w:rFonts w:ascii="Arial" w:cs="Arial" w:eastAsia="Arial" w:hAnsi="Arial"/>
          <w:b w:val="false"/>
          <w:bCs w:val="false"/>
          <w:i w:val="false"/>
          <w:iCs w:val="false"/>
          <w:color w:val="1E293B"/>
          <w:sz w:val="20"/>
          <w:szCs w:val="20"/>
        </w:rPr>
        <w:t xml:space="preserve">Der Anbieter haftet unbeschränkt bei Vorsatz und grober Fahrlässigkeit sowie bei Schäden aus der Verletzung des Lebens, des Körpers oder der Gesundheit.</w:t>
      </w:r>
    </w:p>
    <w:p>
      <w:pPr>
        <w:spacing w:after="120"/>
      </w:pPr>
      <w:r>
        <w:rPr>
          <w:rFonts w:ascii="Arial" w:cs="Arial" w:eastAsia="Arial" w:hAnsi="Arial"/>
          <w:b w:val="false"/>
          <w:bCs w:val="false"/>
          <w:i w:val="false"/>
          <w:iCs w:val="false"/>
          <w:color w:val="1E293B"/>
          <w:sz w:val="20"/>
          <w:szCs w:val="20"/>
        </w:rPr>
        <w:t xml:space="preserve">Im Übrigen ist die Haftung auf den vorhersehbaren, vertragstypischen Schaden begrenzt.</w:t>
      </w:r>
    </w:p>
    <w:p>
      <w:pPr>
        <w:pStyle w:val="Heading2"/>
        <w:spacing w:after="80" w:before="240"/>
      </w:pPr>
      <w:r>
        <w:rPr>
          <w:rFonts w:ascii="Arial" w:cs="Arial" w:eastAsia="Arial" w:hAnsi="Arial"/>
          <w:b/>
          <w:bCs/>
          <w:color w:val="0D1B2A"/>
          <w:sz w:val="24"/>
          <w:szCs w:val="24"/>
        </w:rPr>
        <w:t xml:space="preserve">§ 8  Änderungen der AGB</w:t>
      </w:r>
    </w:p>
    <w:p>
      <w:pPr>
        <w:spacing w:after="120"/>
      </w:pPr>
      <w:r>
        <w:rPr>
          <w:rFonts w:ascii="Arial" w:cs="Arial" w:eastAsia="Arial" w:hAnsi="Arial"/>
          <w:b w:val="false"/>
          <w:bCs w:val="false"/>
          <w:i w:val="false"/>
          <w:iCs w:val="false"/>
          <w:color w:val="1E293B"/>
          <w:sz w:val="20"/>
          <w:szCs w:val="20"/>
        </w:rPr>
        <w:t xml:space="preserve">Der Anbieter behält sich vor, diese AGB mit einer Ankündigungsfrist von 30 Tagen zu ändern. Die Änderungen werden dem Nutzer per E-Mail mitgeteilt. Widerspricht der Nutzer nicht innerhalb von 14 Tagen nach Zugang der Mitteilung, gelten die neuen AGB als akzeptiert.</w:t>
      </w:r>
    </w:p>
    <w:p>
      <w:pPr>
        <w:pStyle w:val="Heading2"/>
        <w:spacing w:after="80" w:before="240"/>
      </w:pPr>
      <w:r>
        <w:rPr>
          <w:rFonts w:ascii="Arial" w:cs="Arial" w:eastAsia="Arial" w:hAnsi="Arial"/>
          <w:b/>
          <w:bCs/>
          <w:color w:val="0D1B2A"/>
          <w:sz w:val="24"/>
          <w:szCs w:val="24"/>
        </w:rPr>
        <w:t xml:space="preserve">§ 9  Anwendbares Recht und Gerichtsstand</w:t>
      </w:r>
    </w:p>
    <w:p>
      <w:pPr>
        <w:spacing w:after="120"/>
      </w:pPr>
      <w:r>
        <w:rPr>
          <w:rFonts w:ascii="Arial" w:cs="Arial" w:eastAsia="Arial" w:hAnsi="Arial"/>
          <w:b w:val="false"/>
          <w:bCs w:val="false"/>
          <w:i w:val="false"/>
          <w:iCs w:val="false"/>
          <w:color w:val="1E293B"/>
          <w:sz w:val="20"/>
          <w:szCs w:val="20"/>
        </w:rPr>
        <w:t xml:space="preserve">Es gilt das Recht der Bundesrepublik Deutschland unter Ausschluss des UN-Kaufrechts.</w:t>
      </w:r>
    </w:p>
    <w:p>
      <w:pPr>
        <w:spacing w:after="120"/>
      </w:pPr>
      <w:r>
        <w:rPr>
          <w:rFonts w:ascii="Arial" w:cs="Arial" w:eastAsia="Arial" w:hAnsi="Arial"/>
          <w:b w:val="false"/>
          <w:bCs w:val="false"/>
          <w:i w:val="false"/>
          <w:iCs w:val="false"/>
          <w:color w:val="1E293B"/>
          <w:sz w:val="20"/>
          <w:szCs w:val="20"/>
        </w:rPr>
        <w:t xml:space="preserve">Gerichtsstand ist, soweit gesetzlich zulässig, der Sitz des Anbieters.</w:t>
      </w:r>
    </w:p>
    <w:p>
      <w:pPr>
        <w:pBdr>
          <w:bottom w:val="single" w:color="D1E8E4" w:sz="4"/>
        </w:pBdr>
        <w:spacing w:after="160" w:before="160"/>
      </w:pPr>
    </w:p>
    <w:p>
      <w:pPr>
        <w:spacing w:after="160" w:before="240"/>
      </w:pPr>
      <w:r>
        <w:rPr>
          <w:rFonts w:ascii="Arial" w:cs="Arial" w:eastAsia="Arial" w:hAnsi="Arial"/>
          <w:b/>
          <w:bCs/>
          <w:color w:val="0A7B6C"/>
          <w:spacing w:val="120"/>
          <w:sz w:val="18"/>
          <w:szCs w:val="18"/>
        </w:rPr>
        <w:t xml:space="preserve">TEIL 2</w:t>
      </w:r>
    </w:p>
    <w:p>
      <w:pPr>
        <w:spacing w:after="240"/>
      </w:pPr>
      <w:r>
        <w:rPr>
          <w:rFonts w:ascii="Arial" w:cs="Arial" w:eastAsia="Arial" w:hAnsi="Arial"/>
          <w:b/>
          <w:bCs/>
          <w:color w:val="0D1B2A"/>
          <w:sz w:val="36"/>
          <w:szCs w:val="36"/>
        </w:rPr>
        <w:t xml:space="preserve">Widerrufsbelehrung</w:t>
      </w:r>
    </w:p>
    <w:p>
      <w:pPr>
        <w:pStyle w:val="Heading2"/>
        <w:spacing w:after="80" w:before="240"/>
      </w:pPr>
      <w:r>
        <w:rPr>
          <w:rFonts w:ascii="Arial" w:cs="Arial" w:eastAsia="Arial" w:hAnsi="Arial"/>
          <w:b/>
          <w:bCs/>
          <w:color w:val="0D1B2A"/>
          <w:sz w:val="24"/>
          <w:szCs w:val="24"/>
        </w:rPr>
        <w:t xml:space="preserve">Widerrufsrecht</w:t>
      </w:r>
    </w:p>
    <w:p>
      <w:pPr>
        <w:spacing w:after="120"/>
      </w:pPr>
      <w:r>
        <w:rPr>
          <w:rFonts w:ascii="Arial" w:cs="Arial" w:eastAsia="Arial" w:hAnsi="Arial"/>
          <w:b w:val="false"/>
          <w:bCs w:val="false"/>
          <w:i w:val="false"/>
          <w:iCs w:val="false"/>
          <w:color w:val="1E293B"/>
          <w:sz w:val="20"/>
          <w:szCs w:val="20"/>
        </w:rPr>
        <w:t xml:space="preserve">Sie haben das Recht, binnen vierzehn Tagen ohne Angabe von Gründen diesen Vertrag zu widerrufen. Die Widerrufsfrist beträgt vierzehn Tage ab dem Tag des Vertragsschlusses.</w:t>
      </w:r>
    </w:p>
    <w:p>
      <w:pPr>
        <w:spacing w:after="120"/>
      </w:pPr>
      <w:r>
        <w:rPr>
          <w:rFonts w:ascii="Arial" w:cs="Arial" w:eastAsia="Arial" w:hAnsi="Arial"/>
          <w:b w:val="false"/>
          <w:bCs w:val="false"/>
          <w:i w:val="false"/>
          <w:iCs w:val="false"/>
          <w:color w:val="1E293B"/>
          <w:sz w:val="20"/>
          <w:szCs w:val="20"/>
        </w:rPr>
        <w:t xml:space="preserve">Um Ihr Widerrufsrecht auszuüben, müssen Sie uns (Markus Brand, Grundsteuer-Monitor, E-Mail: markus@grundsteuer-monitor.de) mittels einer eindeutigen Erklärung (z.B. eine E-Mail) über Ihren Entschluss, diesen Vertrag zu widerrufen, informieren.</w:t>
      </w:r>
    </w:p>
    <w:p>
      <w:pPr>
        <w:spacing w:after="120"/>
      </w:pPr>
      <w:r>
        <w:rPr>
          <w:rFonts w:ascii="Arial" w:cs="Arial" w:eastAsia="Arial" w:hAnsi="Arial"/>
          <w:b w:val="false"/>
          <w:bCs w:val="false"/>
          <w:i w:val="false"/>
          <w:iCs w:val="false"/>
          <w:color w:val="1E293B"/>
          <w:sz w:val="20"/>
          <w:szCs w:val="20"/>
        </w:rPr>
        <w:t xml:space="preserve">Zur Wahrung der Widerrufsfrist reicht es aus, dass Sie die Mitteilung über die Ausübung des Widerrufsrechts vor Ablauf der Widerrufsfrist absenden.</w:t>
      </w:r>
    </w:p>
    <w:p>
      <w:pPr>
        <w:pStyle w:val="Heading2"/>
        <w:spacing w:after="80" w:before="240"/>
      </w:pPr>
      <w:r>
        <w:rPr>
          <w:rFonts w:ascii="Arial" w:cs="Arial" w:eastAsia="Arial" w:hAnsi="Arial"/>
          <w:b/>
          <w:bCs/>
          <w:color w:val="0D1B2A"/>
          <w:sz w:val="24"/>
          <w:szCs w:val="24"/>
        </w:rPr>
        <w:t xml:space="preserve">Folgen des Widerrufs</w:t>
      </w:r>
    </w:p>
    <w:p>
      <w:pPr>
        <w:spacing w:after="120"/>
      </w:pPr>
      <w:r>
        <w:rPr>
          <w:rFonts w:ascii="Arial" w:cs="Arial" w:eastAsia="Arial" w:hAnsi="Arial"/>
          <w:b w:val="false"/>
          <w:bCs w:val="false"/>
          <w:i w:val="false"/>
          <w:iCs w:val="false"/>
          <w:color w:val="1E293B"/>
          <w:sz w:val="20"/>
          <w:szCs w:val="20"/>
        </w:rPr>
        <w:t xml:space="preserve">Wenn Sie diesen Vertrag widerrufen, haben wir Ihnen alle Zahlungen, die wir von Ihnen erhalten haben, unverzüglich und spätestens binnen vierzehn Tagen ab dem Tag zurückzuzahlen, an dem die Mitteilung über Ihren Widerruf dieses Vertrags bei uns eingegangen ist.</w:t>
      </w:r>
    </w:p>
    <w:p>
      <w:pPr>
        <w:pStyle w:val="Heading2"/>
        <w:spacing w:after="80" w:before="240"/>
      </w:pPr>
      <w:r>
        <w:rPr>
          <w:rFonts w:ascii="Arial" w:cs="Arial" w:eastAsia="Arial" w:hAnsi="Arial"/>
          <w:b/>
          <w:bCs/>
          <w:color w:val="0D1B2A"/>
          <w:sz w:val="24"/>
          <w:szCs w:val="24"/>
        </w:rPr>
        <w:t xml:space="preserve">Ausschluss des Widerrufsrechts</w:t>
      </w:r>
    </w:p>
    <w:p>
      <w:pPr>
        <w:spacing w:after="120"/>
      </w:pPr>
      <w:r>
        <w:rPr>
          <w:rFonts w:ascii="Arial" w:cs="Arial" w:eastAsia="Arial" w:hAnsi="Arial"/>
          <w:b w:val="false"/>
          <w:bCs w:val="false"/>
          <w:i w:val="false"/>
          <w:iCs w:val="false"/>
          <w:color w:val="1E293B"/>
          <w:sz w:val="20"/>
          <w:szCs w:val="20"/>
        </w:rPr>
        <w:t xml:space="preserve">Das Widerrufsrecht erlischt vorzeitig, wenn der Anbieter mit der Ausführung des Vertrags (Lieferung des ersten Reports) begonnen hat und Sie ausdrücklich zugestimmt haben, dass der Anbieter mit der Ausführung des Vertrags vor Ablauf der Widerrufsfrist beginnt, und Sie Ihre Kenntnis davon bestätigt haben, dass Sie durch Ihre Zustimmung Ihr Widerrufsrecht verlieren.</w:t>
      </w:r>
    </w:p>
    <w:p>
      <w:pPr>
        <w:spacing w:after="120"/>
      </w:pPr>
      <w:r>
        <w:rPr>
          <w:rFonts w:ascii="Arial" w:cs="Arial" w:eastAsia="Arial" w:hAnsi="Arial"/>
          <w:b w:val="false"/>
          <w:bCs w:val="false"/>
          <w:i w:val="false"/>
          <w:iCs w:val="false"/>
          <w:color w:val="1E293B"/>
          <w:sz w:val="20"/>
          <w:szCs w:val="20"/>
        </w:rPr>
        <w:t xml:space="preserve">Hinweis: Durch Abschluss des Bestellprozesses und Ankreuzen der entsprechenden Checkbox stimmen Sie ausdrücklich zu, dass wir mit der Ausführung des Vertrags vor Ablauf der Widerrufsfrist beginnen dürfen, und bestätigen, dass Sie damit Ihr Widerrufsrecht verlieren.</w:t>
      </w:r>
    </w:p>
    <w:p>
      <w:pPr>
        <w:pBdr>
          <w:bottom w:val="single" w:color="D1E8E4" w:sz="4"/>
        </w:pBdr>
        <w:spacing w:after="160" w:before="160"/>
      </w:pPr>
    </w:p>
    <w:p>
      <w:pPr>
        <w:spacing w:after="160" w:before="240"/>
      </w:pPr>
      <w:r>
        <w:rPr>
          <w:rFonts w:ascii="Arial" w:cs="Arial" w:eastAsia="Arial" w:hAnsi="Arial"/>
          <w:b/>
          <w:bCs/>
          <w:color w:val="0A7B6C"/>
          <w:spacing w:val="120"/>
          <w:sz w:val="18"/>
          <w:szCs w:val="18"/>
        </w:rPr>
        <w:t xml:space="preserve">TEIL 3</w:t>
      </w:r>
    </w:p>
    <w:p>
      <w:pPr>
        <w:spacing w:after="240"/>
      </w:pPr>
      <w:r>
        <w:rPr>
          <w:rFonts w:ascii="Arial" w:cs="Arial" w:eastAsia="Arial" w:hAnsi="Arial"/>
          <w:b/>
          <w:bCs/>
          <w:color w:val="0D1B2A"/>
          <w:sz w:val="36"/>
          <w:szCs w:val="36"/>
        </w:rPr>
        <w:t xml:space="preserve">Datenschutzerklärung</w:t>
      </w:r>
    </w:p>
    <w:p>
      <w:pPr>
        <w:pStyle w:val="Heading2"/>
        <w:spacing w:after="80" w:before="240"/>
      </w:pPr>
      <w:r>
        <w:rPr>
          <w:rFonts w:ascii="Arial" w:cs="Arial" w:eastAsia="Arial" w:hAnsi="Arial"/>
          <w:b/>
          <w:bCs/>
          <w:color w:val="0D1B2A"/>
          <w:sz w:val="24"/>
          <w:szCs w:val="24"/>
        </w:rPr>
        <w:t xml:space="preserve">1. Verantwortlicher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1E8E4" w:sz="1"/>
              <w:left w:val="single" w:color="D1E8E4" w:sz="1"/>
              <w:bottom w:val="single" w:color="D1E8E4" w:sz="1"/>
              <w:right w:val="single" w:color="D1E8E4" w:sz="1"/>
            </w:tcBorders>
            <w:shd w:fill="E8F4F1" w:val="clear"/>
            <w:tcMar>
              <w:top w:type="dxa" w:w="80"/>
              <w:left w:type="dxa" w:w="120"/>
              <w:bottom w:type="dxa" w:w="80"/>
              <w:right w:type="dxa" w:w="120"/>
            </w:tcMar>
          </w:tcPr>
          <w:p>
            <w:r>
              <w:rPr>
                <w:rFonts w:ascii="Arial" w:cs="Arial" w:eastAsia="Arial" w:hAnsi="Arial"/>
                <w:b/>
                <w:bCs/>
                <w:color w:val="0A7B6C"/>
                <w:sz w:val="18"/>
                <w:szCs w:val="18"/>
              </w:rPr>
              <w:t xml:space="preserve">Name</w:t>
            </w:r>
          </w:p>
        </w:tc>
        <w:tc>
          <w:tcPr>
            <w:tcW w:type="dxa" w:w="6526"/>
            <w:tcBorders>
              <w:top w:val="single" w:color="D1E8E4" w:sz="1"/>
              <w:left w:val="single" w:color="D1E8E4" w:sz="1"/>
              <w:bottom w:val="single" w:color="D1E8E4" w:sz="1"/>
              <w:right w:val="single" w:color="D1E8E4" w:sz="1"/>
            </w:tcBorders>
            <w:tcMar>
              <w:top w:type="dxa" w:w="80"/>
              <w:left w:type="dxa" w:w="120"/>
              <w:bottom w:type="dxa" w:w="80"/>
              <w:right w:type="dxa" w:w="120"/>
            </w:tcMar>
          </w:tcPr>
          <w:p>
            <w:r>
              <w:rPr>
                <w:rFonts w:ascii="Arial" w:cs="Arial" w:eastAsia="Arial" w:hAnsi="Arial"/>
                <w:color w:val="1E293B"/>
                <w:sz w:val="18"/>
                <w:szCs w:val="18"/>
              </w:rPr>
              <w:t xml:space="preserve">Markus Brand</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1E8E4" w:sz="1"/>
              <w:left w:val="single" w:color="D1E8E4" w:sz="1"/>
              <w:bottom w:val="single" w:color="D1E8E4" w:sz="1"/>
              <w:right w:val="single" w:color="D1E8E4" w:sz="1"/>
            </w:tcBorders>
            <w:shd w:fill="E8F4F1" w:val="clear"/>
            <w:tcMar>
              <w:top w:type="dxa" w:w="80"/>
              <w:left w:type="dxa" w:w="120"/>
              <w:bottom w:type="dxa" w:w="80"/>
              <w:right w:type="dxa" w:w="120"/>
            </w:tcMar>
          </w:tcPr>
          <w:p>
            <w:r>
              <w:rPr>
                <w:rFonts w:ascii="Arial" w:cs="Arial" w:eastAsia="Arial" w:hAnsi="Arial"/>
                <w:b/>
                <w:bCs/>
                <w:color w:val="0A7B6C"/>
                <w:sz w:val="18"/>
                <w:szCs w:val="18"/>
              </w:rPr>
              <w:t xml:space="preserve">Produkt</w:t>
            </w:r>
          </w:p>
        </w:tc>
        <w:tc>
          <w:tcPr>
            <w:tcW w:type="dxa" w:w="6526"/>
            <w:tcBorders>
              <w:top w:val="single" w:color="D1E8E4" w:sz="1"/>
              <w:left w:val="single" w:color="D1E8E4" w:sz="1"/>
              <w:bottom w:val="single" w:color="D1E8E4" w:sz="1"/>
              <w:right w:val="single" w:color="D1E8E4" w:sz="1"/>
            </w:tcBorders>
            <w:tcMar>
              <w:top w:type="dxa" w:w="80"/>
              <w:left w:type="dxa" w:w="120"/>
              <w:bottom w:type="dxa" w:w="80"/>
              <w:right w:type="dxa" w:w="120"/>
            </w:tcMar>
          </w:tcPr>
          <w:p>
            <w:r>
              <w:rPr>
                <w:rFonts w:ascii="Arial" w:cs="Arial" w:eastAsia="Arial" w:hAnsi="Arial"/>
                <w:color w:val="1E293B"/>
                <w:sz w:val="18"/>
                <w:szCs w:val="18"/>
              </w:rPr>
              <w:t xml:space="preserve">Grundsteuer-Monitor</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1E8E4" w:sz="1"/>
              <w:left w:val="single" w:color="D1E8E4" w:sz="1"/>
              <w:bottom w:val="single" w:color="D1E8E4" w:sz="1"/>
              <w:right w:val="single" w:color="D1E8E4" w:sz="1"/>
            </w:tcBorders>
            <w:shd w:fill="E8F4F1" w:val="clear"/>
            <w:tcMar>
              <w:top w:type="dxa" w:w="80"/>
              <w:left w:type="dxa" w:w="120"/>
              <w:bottom w:type="dxa" w:w="80"/>
              <w:right w:type="dxa" w:w="120"/>
            </w:tcMar>
          </w:tcPr>
          <w:p>
            <w:r>
              <w:rPr>
                <w:rFonts w:ascii="Arial" w:cs="Arial" w:eastAsia="Arial" w:hAnsi="Arial"/>
                <w:b/>
                <w:bCs/>
                <w:color w:val="0A7B6C"/>
                <w:sz w:val="18"/>
                <w:szCs w:val="18"/>
              </w:rPr>
              <w:t xml:space="preserve">E-Mail</w:t>
            </w:r>
          </w:p>
        </w:tc>
        <w:tc>
          <w:tcPr>
            <w:tcW w:type="dxa" w:w="6526"/>
            <w:tcBorders>
              <w:top w:val="single" w:color="D1E8E4" w:sz="1"/>
              <w:left w:val="single" w:color="D1E8E4" w:sz="1"/>
              <w:bottom w:val="single" w:color="D1E8E4" w:sz="1"/>
              <w:right w:val="single" w:color="D1E8E4" w:sz="1"/>
            </w:tcBorders>
            <w:tcMar>
              <w:top w:type="dxa" w:w="80"/>
              <w:left w:type="dxa" w:w="120"/>
              <w:bottom w:type="dxa" w:w="80"/>
              <w:right w:type="dxa" w:w="120"/>
            </w:tcMar>
          </w:tcPr>
          <w:p>
            <w:r>
              <w:rPr>
                <w:rFonts w:ascii="Arial" w:cs="Arial" w:eastAsia="Arial" w:hAnsi="Arial"/>
                <w:color w:val="1E293B"/>
                <w:sz w:val="18"/>
                <w:szCs w:val="18"/>
              </w:rPr>
              <w:t xml:space="preserve">markus@grundsteuer-monitor.de</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1E8E4" w:sz="1"/>
              <w:left w:val="single" w:color="D1E8E4" w:sz="1"/>
              <w:bottom w:val="single" w:color="D1E8E4" w:sz="1"/>
              <w:right w:val="single" w:color="D1E8E4" w:sz="1"/>
            </w:tcBorders>
            <w:shd w:fill="E8F4F1" w:val="clear"/>
            <w:tcMar>
              <w:top w:type="dxa" w:w="80"/>
              <w:left w:type="dxa" w:w="120"/>
              <w:bottom w:type="dxa" w:w="80"/>
              <w:right w:type="dxa" w:w="120"/>
            </w:tcMar>
          </w:tcPr>
          <w:p>
            <w:r>
              <w:rPr>
                <w:rFonts w:ascii="Arial" w:cs="Arial" w:eastAsia="Arial" w:hAnsi="Arial"/>
                <w:b/>
                <w:bCs/>
                <w:color w:val="0A7B6C"/>
                <w:sz w:val="18"/>
                <w:szCs w:val="18"/>
              </w:rPr>
              <w:t xml:space="preserve">Website</w:t>
            </w:r>
          </w:p>
        </w:tc>
        <w:tc>
          <w:tcPr>
            <w:tcW w:type="dxa" w:w="6526"/>
            <w:tcBorders>
              <w:top w:val="single" w:color="D1E8E4" w:sz="1"/>
              <w:left w:val="single" w:color="D1E8E4" w:sz="1"/>
              <w:bottom w:val="single" w:color="D1E8E4" w:sz="1"/>
              <w:right w:val="single" w:color="D1E8E4" w:sz="1"/>
            </w:tcBorders>
            <w:tcMar>
              <w:top w:type="dxa" w:w="80"/>
              <w:left w:type="dxa" w:w="120"/>
              <w:bottom w:type="dxa" w:w="80"/>
              <w:right w:type="dxa" w:w="120"/>
            </w:tcMar>
          </w:tcPr>
          <w:p>
            <w:r>
              <w:rPr>
                <w:rFonts w:ascii="Arial" w:cs="Arial" w:eastAsia="Arial" w:hAnsi="Arial"/>
                <w:color w:val="1E293B"/>
                <w:sz w:val="18"/>
                <w:szCs w:val="18"/>
              </w:rPr>
              <w:t xml:space="preserve">grundsteuer-monitor.de</w:t>
            </w:r>
          </w:p>
        </w:tc>
      </w:tr>
    </w:tbl>
    <w:p>
      <w:pPr>
        <w:spacing w:after="40"/>
      </w:pPr>
    </w:p>
    <w:p>
      <w:pPr>
        <w:pStyle w:val="Heading2"/>
        <w:spacing w:after="80" w:before="240"/>
      </w:pPr>
      <w:r>
        <w:rPr>
          <w:rFonts w:ascii="Arial" w:cs="Arial" w:eastAsia="Arial" w:hAnsi="Arial"/>
          <w:b/>
          <w:bCs/>
          <w:color w:val="0D1B2A"/>
          <w:sz w:val="24"/>
          <w:szCs w:val="24"/>
        </w:rPr>
        <w:t xml:space="preserve">2. Erhobene Daten und Zweck</w:t>
      </w:r>
    </w:p>
    <w:p>
      <w:pPr>
        <w:spacing w:after="120"/>
      </w:pPr>
      <w:r>
        <w:rPr>
          <w:rFonts w:ascii="Arial" w:cs="Arial" w:eastAsia="Arial" w:hAnsi="Arial"/>
          <w:b w:val="false"/>
          <w:bCs w:val="false"/>
          <w:i w:val="false"/>
          <w:iCs w:val="false"/>
          <w:color w:val="1E293B"/>
          <w:sz w:val="20"/>
          <w:szCs w:val="20"/>
        </w:rPr>
        <w:t xml:space="preserve">Im Rahmen der Vertragsabwicklung werden folgende personenbezogene Daten erhoben und verarbeitet:</w:t>
      </w:r>
    </w:p>
    <w:p>
      <w:pPr>
        <w:pStyle w:val="ListParagraph"/>
        <w:numPr>
          <w:ilvl w:val="0"/>
          <w:numId w:val="2"/>
        </w:numPr>
        <w:spacing w:after="60"/>
      </w:pPr>
      <w:r>
        <w:rPr>
          <w:rFonts w:ascii="Arial" w:cs="Arial" w:eastAsia="Arial" w:hAnsi="Arial"/>
          <w:color w:val="1E293B"/>
          <w:sz w:val="20"/>
          <w:szCs w:val="20"/>
        </w:rPr>
        <w:t xml:space="preserve">Name und Firmenbezeichnung des Nutzers</w:t>
      </w:r>
    </w:p>
    <w:p>
      <w:pPr>
        <w:pStyle w:val="ListParagraph"/>
        <w:numPr>
          <w:ilvl w:val="0"/>
          <w:numId w:val="2"/>
        </w:numPr>
        <w:spacing w:after="60"/>
      </w:pPr>
      <w:r>
        <w:rPr>
          <w:rFonts w:ascii="Arial" w:cs="Arial" w:eastAsia="Arial" w:hAnsi="Arial"/>
          <w:color w:val="1E293B"/>
          <w:sz w:val="20"/>
          <w:szCs w:val="20"/>
        </w:rPr>
        <w:t xml:space="preserve">E-Mail-Adresse (für Vertragsabschluss und Lieferung der Reports)</w:t>
      </w:r>
    </w:p>
    <w:p>
      <w:pPr>
        <w:pStyle w:val="ListParagraph"/>
        <w:numPr>
          <w:ilvl w:val="0"/>
          <w:numId w:val="2"/>
        </w:numPr>
        <w:spacing w:after="60"/>
      </w:pPr>
      <w:r>
        <w:rPr>
          <w:rFonts w:ascii="Arial" w:cs="Arial" w:eastAsia="Arial" w:hAnsi="Arial"/>
          <w:color w:val="1E293B"/>
          <w:sz w:val="20"/>
          <w:szCs w:val="20"/>
        </w:rPr>
        <w:t xml:space="preserve">Zahlungsdaten (werden ausschließlich durch Stripe verarbeitet, nicht beim Anbieter gespeichert)</w:t>
      </w:r>
    </w:p>
    <w:p>
      <w:pPr>
        <w:pStyle w:val="ListParagraph"/>
        <w:numPr>
          <w:ilvl w:val="0"/>
          <w:numId w:val="2"/>
        </w:numPr>
        <w:spacing w:after="60"/>
      </w:pPr>
      <w:r>
        <w:rPr>
          <w:rFonts w:ascii="Arial" w:cs="Arial" w:eastAsia="Arial" w:hAnsi="Arial"/>
          <w:color w:val="1E293B"/>
          <w:sz w:val="20"/>
          <w:szCs w:val="20"/>
        </w:rPr>
        <w:t xml:space="preserve">IP-Adresse und Nutzungsdaten beim Besuch der Website</w:t>
      </w:r>
    </w:p>
    <w:p>
      <w:pPr>
        <w:spacing w:after="120"/>
      </w:pPr>
      <w:r>
        <w:rPr>
          <w:rFonts w:ascii="Arial" w:cs="Arial" w:eastAsia="Arial" w:hAnsi="Arial"/>
          <w:b w:val="false"/>
          <w:bCs w:val="false"/>
          <w:i w:val="false"/>
          <w:iCs w:val="false"/>
          <w:color w:val="1E293B"/>
          <w:sz w:val="20"/>
          <w:szCs w:val="20"/>
        </w:rPr>
        <w:t xml:space="preserve">Rechtsgrundlage für die Verarbeitung ist Art. 6 Abs. 1 lit. b DSGVO (Vertragserfüllung) sowie Art. 6 Abs. 1 lit. f DSGVO (berechtigtes Interesse).</w:t>
      </w:r>
    </w:p>
    <w:p>
      <w:pPr>
        <w:pStyle w:val="Heading2"/>
        <w:spacing w:after="80" w:before="240"/>
      </w:pPr>
      <w:r>
        <w:rPr>
          <w:rFonts w:ascii="Arial" w:cs="Arial" w:eastAsia="Arial" w:hAnsi="Arial"/>
          <w:b/>
          <w:bCs/>
          <w:color w:val="0D1B2A"/>
          <w:sz w:val="24"/>
          <w:szCs w:val="24"/>
        </w:rPr>
        <w:t xml:space="preserve">3. Datenweitergabe</w:t>
      </w:r>
    </w:p>
    <w:p>
      <w:pPr>
        <w:spacing w:after="120"/>
      </w:pPr>
      <w:r>
        <w:rPr>
          <w:rFonts w:ascii="Arial" w:cs="Arial" w:eastAsia="Arial" w:hAnsi="Arial"/>
          <w:b w:val="false"/>
          <w:bCs w:val="false"/>
          <w:i w:val="false"/>
          <w:iCs w:val="false"/>
          <w:color w:val="1E293B"/>
          <w:sz w:val="20"/>
          <w:szCs w:val="20"/>
        </w:rPr>
        <w:t xml:space="preserve">Personenbezogene Daten werden ausschließlich an folgende Dienstleister weitergegeben, soweit dies für die Vertragserfüllung erforderlich ist:</w:t>
      </w:r>
    </w:p>
    <w:p>
      <w:pPr>
        <w:pStyle w:val="ListParagraph"/>
        <w:numPr>
          <w:ilvl w:val="0"/>
          <w:numId w:val="2"/>
        </w:numPr>
        <w:spacing w:after="60"/>
      </w:pPr>
      <w:r>
        <w:rPr>
          <w:rFonts w:ascii="Arial" w:cs="Arial" w:eastAsia="Arial" w:hAnsi="Arial"/>
          <w:color w:val="1E293B"/>
          <w:sz w:val="20"/>
          <w:szCs w:val="20"/>
        </w:rPr>
        <w:t xml:space="preserve">Stripe Payments Europe Ltd. (Zahlungsabwicklung) — Datenschutzerklärung: stripe.com/de/privacy</w:t>
      </w:r>
    </w:p>
    <w:p>
      <w:pPr>
        <w:pStyle w:val="ListParagraph"/>
        <w:numPr>
          <w:ilvl w:val="0"/>
          <w:numId w:val="2"/>
        </w:numPr>
        <w:spacing w:after="60"/>
      </w:pPr>
      <w:r>
        <w:rPr>
          <w:rFonts w:ascii="Arial" w:cs="Arial" w:eastAsia="Arial" w:hAnsi="Arial"/>
          <w:color w:val="1E293B"/>
          <w:sz w:val="20"/>
          <w:szCs w:val="20"/>
        </w:rPr>
        <w:t xml:space="preserve">E-Mail-Anbieter für den Versand der monatlichen Reports</w:t>
      </w:r>
    </w:p>
    <w:p>
      <w:pPr>
        <w:spacing w:after="120"/>
      </w:pPr>
      <w:r>
        <w:rPr>
          <w:rFonts w:ascii="Arial" w:cs="Arial" w:eastAsia="Arial" w:hAnsi="Arial"/>
          <w:b w:val="false"/>
          <w:bCs w:val="false"/>
          <w:i w:val="false"/>
          <w:iCs w:val="false"/>
          <w:color w:val="1E293B"/>
          <w:sz w:val="20"/>
          <w:szCs w:val="20"/>
        </w:rPr>
        <w:t xml:space="preserve">Eine Weitergabe an Dritte zu anderen Zwecken findet nicht statt.</w:t>
      </w:r>
    </w:p>
    <w:p>
      <w:pPr>
        <w:pStyle w:val="Heading2"/>
        <w:spacing w:after="80" w:before="240"/>
      </w:pPr>
      <w:r>
        <w:rPr>
          <w:rFonts w:ascii="Arial" w:cs="Arial" w:eastAsia="Arial" w:hAnsi="Arial"/>
          <w:b/>
          <w:bCs/>
          <w:color w:val="0D1B2A"/>
          <w:sz w:val="24"/>
          <w:szCs w:val="24"/>
        </w:rPr>
        <w:t xml:space="preserve">4. Speicherdauer</w:t>
      </w:r>
    </w:p>
    <w:p>
      <w:pPr>
        <w:spacing w:after="120"/>
      </w:pPr>
      <w:r>
        <w:rPr>
          <w:rFonts w:ascii="Arial" w:cs="Arial" w:eastAsia="Arial" w:hAnsi="Arial"/>
          <w:b w:val="false"/>
          <w:bCs w:val="false"/>
          <w:i w:val="false"/>
          <w:iCs w:val="false"/>
          <w:color w:val="1E293B"/>
          <w:sz w:val="20"/>
          <w:szCs w:val="20"/>
        </w:rPr>
        <w:t xml:space="preserve">Personenbezogene Daten werden gelöscht, sobald sie für den Zweck ihrer Verarbeitung nicht mehr benötigt werden. Daten zur Vertragsabwicklung werden entsprechend der gesetzlichen Aufbewahrungsfristen (regelmäßig 10 Jahre gemäß § 147 AO) aufbewahrt.</w:t>
      </w:r>
    </w:p>
    <w:p>
      <w:pPr>
        <w:pStyle w:val="Heading2"/>
        <w:spacing w:after="80" w:before="240"/>
      </w:pPr>
      <w:r>
        <w:rPr>
          <w:rFonts w:ascii="Arial" w:cs="Arial" w:eastAsia="Arial" w:hAnsi="Arial"/>
          <w:b/>
          <w:bCs/>
          <w:color w:val="0D1B2A"/>
          <w:sz w:val="24"/>
          <w:szCs w:val="24"/>
        </w:rPr>
        <w:t xml:space="preserve">5. Rechte der betroffenen Person</w:t>
      </w:r>
    </w:p>
    <w:p>
      <w:pPr>
        <w:spacing w:after="120"/>
      </w:pPr>
      <w:r>
        <w:rPr>
          <w:rFonts w:ascii="Arial" w:cs="Arial" w:eastAsia="Arial" w:hAnsi="Arial"/>
          <w:b w:val="false"/>
          <w:bCs w:val="false"/>
          <w:i w:val="false"/>
          <w:iCs w:val="false"/>
          <w:color w:val="1E293B"/>
          <w:sz w:val="20"/>
          <w:szCs w:val="20"/>
        </w:rPr>
        <w:t xml:space="preserve">Sie haben gegenüber dem Anbieter folgende Rechte bezüglich Ihrer personenbezogenen Daten:</w:t>
      </w:r>
    </w:p>
    <w:p>
      <w:pPr>
        <w:pStyle w:val="ListParagraph"/>
        <w:numPr>
          <w:ilvl w:val="0"/>
          <w:numId w:val="2"/>
        </w:numPr>
        <w:spacing w:after="60"/>
      </w:pPr>
      <w:r>
        <w:rPr>
          <w:rFonts w:ascii="Arial" w:cs="Arial" w:eastAsia="Arial" w:hAnsi="Arial"/>
          <w:color w:val="1E293B"/>
          <w:sz w:val="20"/>
          <w:szCs w:val="20"/>
        </w:rPr>
        <w:t xml:space="preserve">Recht auf Auskunft (Art. 15 DSGVO)</w:t>
      </w:r>
    </w:p>
    <w:p>
      <w:pPr>
        <w:pStyle w:val="ListParagraph"/>
        <w:numPr>
          <w:ilvl w:val="0"/>
          <w:numId w:val="2"/>
        </w:numPr>
        <w:spacing w:after="60"/>
      </w:pPr>
      <w:r>
        <w:rPr>
          <w:rFonts w:ascii="Arial" w:cs="Arial" w:eastAsia="Arial" w:hAnsi="Arial"/>
          <w:color w:val="1E293B"/>
          <w:sz w:val="20"/>
          <w:szCs w:val="20"/>
        </w:rPr>
        <w:t xml:space="preserve">Recht auf Berichtigung (Art. 16 DSGVO)</w:t>
      </w:r>
    </w:p>
    <w:p>
      <w:pPr>
        <w:pStyle w:val="ListParagraph"/>
        <w:numPr>
          <w:ilvl w:val="0"/>
          <w:numId w:val="2"/>
        </w:numPr>
        <w:spacing w:after="60"/>
      </w:pPr>
      <w:r>
        <w:rPr>
          <w:rFonts w:ascii="Arial" w:cs="Arial" w:eastAsia="Arial" w:hAnsi="Arial"/>
          <w:color w:val="1E293B"/>
          <w:sz w:val="20"/>
          <w:szCs w:val="20"/>
        </w:rPr>
        <w:t xml:space="preserve">Recht auf Löschung (Art. 17 DSGVO)</w:t>
      </w:r>
    </w:p>
    <w:p>
      <w:pPr>
        <w:pStyle w:val="ListParagraph"/>
        <w:numPr>
          <w:ilvl w:val="0"/>
          <w:numId w:val="2"/>
        </w:numPr>
        <w:spacing w:after="60"/>
      </w:pPr>
      <w:r>
        <w:rPr>
          <w:rFonts w:ascii="Arial" w:cs="Arial" w:eastAsia="Arial" w:hAnsi="Arial"/>
          <w:color w:val="1E293B"/>
          <w:sz w:val="20"/>
          <w:szCs w:val="20"/>
        </w:rPr>
        <w:t xml:space="preserve">Recht auf Einschränkung der Verarbeitung (Art. 18 DSGVO)</w:t>
      </w:r>
    </w:p>
    <w:p>
      <w:pPr>
        <w:pStyle w:val="ListParagraph"/>
        <w:numPr>
          <w:ilvl w:val="0"/>
          <w:numId w:val="2"/>
        </w:numPr>
        <w:spacing w:after="60"/>
      </w:pPr>
      <w:r>
        <w:rPr>
          <w:rFonts w:ascii="Arial" w:cs="Arial" w:eastAsia="Arial" w:hAnsi="Arial"/>
          <w:color w:val="1E293B"/>
          <w:sz w:val="20"/>
          <w:szCs w:val="20"/>
        </w:rPr>
        <w:t xml:space="preserve">Recht auf Datenübertragbarkeit (Art. 20 DSGVO)</w:t>
      </w:r>
    </w:p>
    <w:p>
      <w:pPr>
        <w:pStyle w:val="ListParagraph"/>
        <w:numPr>
          <w:ilvl w:val="0"/>
          <w:numId w:val="2"/>
        </w:numPr>
        <w:spacing w:after="60"/>
      </w:pPr>
      <w:r>
        <w:rPr>
          <w:rFonts w:ascii="Arial" w:cs="Arial" w:eastAsia="Arial" w:hAnsi="Arial"/>
          <w:color w:val="1E293B"/>
          <w:sz w:val="20"/>
          <w:szCs w:val="20"/>
        </w:rPr>
        <w:t xml:space="preserve">Widerspruchsrecht (Art. 21 DSGVO)</w:t>
      </w:r>
    </w:p>
    <w:p>
      <w:pPr>
        <w:spacing w:after="120"/>
      </w:pPr>
      <w:r>
        <w:rPr>
          <w:rFonts w:ascii="Arial" w:cs="Arial" w:eastAsia="Arial" w:hAnsi="Arial"/>
          <w:b w:val="false"/>
          <w:bCs w:val="false"/>
          <w:i w:val="false"/>
          <w:iCs w:val="false"/>
          <w:color w:val="1E293B"/>
          <w:sz w:val="20"/>
          <w:szCs w:val="20"/>
        </w:rPr>
        <w:t xml:space="preserve">Zur Ausübung dieser Rechte wenden Sie sich bitte an: markus@grundsteuer-monitor.de</w:t>
      </w:r>
    </w:p>
    <w:p>
      <w:pPr>
        <w:spacing w:after="120"/>
      </w:pPr>
      <w:r>
        <w:rPr>
          <w:rFonts w:ascii="Arial" w:cs="Arial" w:eastAsia="Arial" w:hAnsi="Arial"/>
          <w:b w:val="false"/>
          <w:bCs w:val="false"/>
          <w:i w:val="false"/>
          <w:iCs w:val="false"/>
          <w:color w:val="1E293B"/>
          <w:sz w:val="20"/>
          <w:szCs w:val="20"/>
        </w:rPr>
        <w:t xml:space="preserve">Sie haben zudem das Recht, bei einer Aufsichtsbehörde Beschwerde einzulegen. Die zuständige Aufsichtsbehörde richtet sich nach Ihrem Bundesland.</w:t>
      </w:r>
    </w:p>
    <w:p>
      <w:pPr>
        <w:pStyle w:val="Heading2"/>
        <w:spacing w:after="80" w:before="240"/>
      </w:pPr>
      <w:r>
        <w:rPr>
          <w:rFonts w:ascii="Arial" w:cs="Arial" w:eastAsia="Arial" w:hAnsi="Arial"/>
          <w:b/>
          <w:bCs/>
          <w:color w:val="0D1B2A"/>
          <w:sz w:val="24"/>
          <w:szCs w:val="24"/>
        </w:rPr>
        <w:t xml:space="preserve">6. Daten der aggregierten Grundsteuerdaten</w:t>
      </w:r>
    </w:p>
    <w:p>
      <w:pPr>
        <w:spacing w:after="120"/>
      </w:pPr>
      <w:r>
        <w:rPr>
          <w:rFonts w:ascii="Arial" w:cs="Arial" w:eastAsia="Arial" w:hAnsi="Arial"/>
          <w:b w:val="false"/>
          <w:bCs w:val="false"/>
          <w:i w:val="false"/>
          <w:iCs w:val="false"/>
          <w:color w:val="1E293B"/>
          <w:sz w:val="20"/>
          <w:szCs w:val="20"/>
        </w:rPr>
        <w:t xml:space="preserve">Der Grundsteuer-Monitor aggregiert ausschließlich öffentlich zugängliche Daten aus amtlichen Quellen (Finanzämter, Kommunalverwaltungen, Landesbehörden). Diese Daten enthalten keine personenbezogenen Daten im Sinne der DSGVO.</w:t>
      </w:r>
    </w:p>
    <w:p>
      <w:pPr>
        <w:pBdr>
          <w:bottom w:val="single" w:color="D1E8E4" w:sz="4"/>
        </w:pBdr>
        <w:spacing w:after="160" w:before="160"/>
      </w:pPr>
    </w:p>
    <w:p>
      <w:pPr>
        <w:spacing w:after="160" w:before="240"/>
      </w:pPr>
      <w:r>
        <w:rPr>
          <w:rFonts w:ascii="Arial" w:cs="Arial" w:eastAsia="Arial" w:hAnsi="Arial"/>
          <w:b/>
          <w:bCs/>
          <w:color w:val="0D1B2A"/>
          <w:sz w:val="28"/>
          <w:szCs w:val="28"/>
        </w:rPr>
        <w:t xml:space="preserve">Akzeptanz und Bestätigung</w:t>
      </w:r>
    </w:p>
    <w:p>
      <w:pPr>
        <w:spacing w:after="120"/>
      </w:pPr>
      <w:r>
        <w:rPr>
          <w:rFonts w:ascii="Arial" w:cs="Arial" w:eastAsia="Arial" w:hAnsi="Arial"/>
          <w:b w:val="false"/>
          <w:bCs w:val="false"/>
          <w:i w:val="false"/>
          <w:iCs w:val="false"/>
          <w:color w:val="1E293B"/>
          <w:sz w:val="20"/>
          <w:szCs w:val="20"/>
        </w:rPr>
        <w:t xml:space="preserve">Der Nutzer bestätigt durch Abschluss des Bestellprozesses auf der Website grundsteuer-monitor.de, dass er diese AGB, die Widerrufsbelehrung und die Datenschutzerklärung gelesen und verstanden hat und ihnen zustimmt.</w:t>
      </w:r>
    </w:p>
    <w:p>
      <w:pPr>
        <w:spacing w:after="120"/>
      </w:pPr>
      <w:r>
        <w:rPr>
          <w:rFonts w:ascii="Arial" w:cs="Arial" w:eastAsia="Arial" w:hAnsi="Arial"/>
          <w:b w:val="false"/>
          <w:bCs w:val="false"/>
          <w:i w:val="false"/>
          <w:iCs w:val="false"/>
          <w:color w:val="1E293B"/>
          <w:sz w:val="20"/>
          <w:szCs w:val="20"/>
        </w:rPr>
        <w:t xml:space="preserve">Eine elektronische Akzeptanz durch Ankreuzen einer Checkbox im Bestellprozess ist einer schriftlichen Unterschrift gleichgestellt (§ 126b BGB).</w:t>
      </w:r>
    </w:p>
    <w:p>
      <w:pP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80"/>
              <w:left w:type="dxa" w:w="0"/>
              <w:bottom w:type="dxa" w:w="80"/>
              <w:right w:type="dxa" w:w="120"/>
            </w:tcMar>
          </w:tcPr>
          <w:p>
            <w:pPr>
              <w:pBdr>
                <w:bottom w:val="single" w:color="C1DDD8" w:sz="4"/>
              </w:pBdr>
              <w:spacing w:after="60"/>
            </w:pPr>
          </w:p>
          <w:p>
            <w:r>
              <w:rPr>
                <w:rFonts w:ascii="Arial" w:cs="Arial" w:eastAsia="Arial" w:hAnsi="Arial"/>
                <w:i/>
                <w:iCs/>
                <w:color w:val="64748B"/>
                <w:sz w:val="18"/>
                <w:szCs w:val="18"/>
              </w:rPr>
              <w:t xml:space="preserve">Ort, Datum</w:t>
            </w:r>
          </w:p>
        </w:tc>
        <w:tc>
          <w:tcPr>
            <w:tcW w:type="dxa" w:w="4513"/>
            <w:tcBorders>
              <w:top w:val="none" w:color="FFFFFF" w:sz="0"/>
              <w:left w:val="none" w:color="FFFFFF" w:sz="0"/>
              <w:bottom w:val="none" w:color="FFFFFF" w:sz="0"/>
              <w:right w:val="none" w:color="FFFFFF" w:sz="0"/>
            </w:tcBorders>
            <w:tcMar>
              <w:top w:type="dxa" w:w="80"/>
              <w:left w:type="dxa" w:w="120"/>
              <w:bottom w:type="dxa" w:w="80"/>
              <w:right w:type="dxa" w:w="0"/>
            </w:tcMar>
          </w:tcPr>
          <w:p>
            <w:pPr>
              <w:pBdr>
                <w:bottom w:val="single" w:color="C1DDD8" w:sz="4"/>
              </w:pBdr>
              <w:spacing w:after="60"/>
            </w:pPr>
          </w:p>
          <w:p>
            <w:r>
              <w:rPr>
                <w:rFonts w:ascii="Arial" w:cs="Arial" w:eastAsia="Arial" w:hAnsi="Arial"/>
                <w:i/>
                <w:iCs/>
                <w:color w:val="64748B"/>
                <w:sz w:val="18"/>
                <w:szCs w:val="18"/>
              </w:rPr>
              <w:t xml:space="preserve">Unterschrift Anbieter: Markus Brand</w:t>
            </w:r>
          </w:p>
        </w:tc>
      </w:tr>
    </w:tbl>
    <w:p>
      <w:pPr>
        <w:spacing w:after="120"/>
      </w:pPr>
    </w:p>
    <w:p>
      <w:pPr>
        <w:spacing w:after="120"/>
      </w:pPr>
      <w:r>
        <w:rPr>
          <w:rFonts w:ascii="Arial" w:cs="Arial" w:eastAsia="Arial" w:hAnsi="Arial"/>
          <w:b w:val="false"/>
          <w:bCs w:val="false"/>
          <w:i/>
          <w:iCs/>
          <w:color w:val="64748B"/>
          <w:sz w:val="20"/>
          <w:szCs w:val="20"/>
        </w:rPr>
        <w:t xml:space="preserve">Stand: März 2026  |  grundsteuer-monitor.de  |  markus@grundsteuer-monitor.de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E8E4" w:sz="4"/>
      </w:pBdr>
      <w:spacing w:before="80"/>
      <w:jc w:val="center"/>
    </w:pPr>
    <w:r>
      <w:rPr>
        <w:rFonts w:ascii="Arial" w:cs="Arial" w:eastAsia="Arial" w:hAnsi="Arial"/>
        <w:color w:val="64748B"/>
        <w:sz w:val="16"/>
        <w:szCs w:val="16"/>
      </w:rPr>
      <w:t xml:space="preserve">Seite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  grundsteuer-monitor.de  |  markus@grundsteuer-monitor.de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E8E4" w:sz="4"/>
      </w:pBdr>
      <w:spacing w:after="80"/>
    </w:pPr>
    <w:r>
      <w:rPr>
        <w:rFonts w:ascii="Arial" w:cs="Arial" w:eastAsia="Arial" w:hAnsi="Arial"/>
        <w:b/>
        <w:bCs/>
        <w:color w:val="0A7B6C"/>
        <w:sz w:val="18"/>
        <w:szCs w:val="18"/>
      </w:rPr>
      <w:t xml:space="preserve">Grundsteuer-Monitor</w:t>
    </w:r>
    <w:r>
      <w:rPr>
        <w:rFonts w:ascii="Arial" w:cs="Arial" w:eastAsia="Arial" w:hAnsi="Arial"/>
        <w:color w:val="64748B"/>
        <w:sz w:val="18"/>
        <w:szCs w:val="18"/>
      </w:rPr>
      <w:t xml:space="preserve">  |  AGB, Datenschutzerklärung &amp; Widerrufsbelehrung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A7B6C"/>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2026-03-25T18:31:08.060Z</dcterms:created>
  <dcterms:modified xsi:type="dcterms:W3CDTF">2026-03-25T18:31:08.060Z</dcterms:modified>
</cp:coreProperties>
</file>

<file path=docProps/custom.xml><?xml version="1.0" encoding="utf-8"?>
<Properties xmlns="http://schemas.openxmlformats.org/officeDocument/2006/custom-properties" xmlns:vt="http://schemas.openxmlformats.org/officeDocument/2006/docPropsVTypes"/>
</file>