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21A3" w:rsidRPr="003E4D28" w:rsidRDefault="003E4D28">
      <w:pPr>
        <w:jc w:val="center"/>
        <w:rPr>
          <w:lang w:val="es-CO"/>
        </w:rPr>
      </w:pPr>
      <w:r w:rsidRPr="003E4D28">
        <w:rPr>
          <w:b/>
          <w:color w:val="1F366A"/>
          <w:sz w:val="40"/>
          <w:lang w:val="es-CO"/>
        </w:rPr>
        <w:t>Implementación técnica completa en PostgreSQL y MongoDB</w:t>
      </w:r>
    </w:p>
    <w:p w:rsidR="00D421A3" w:rsidRPr="003E4D28" w:rsidRDefault="003E4D28">
      <w:pPr>
        <w:jc w:val="center"/>
        <w:rPr>
          <w:lang w:val="es-CO"/>
        </w:rPr>
      </w:pPr>
      <w:r w:rsidRPr="003E4D28">
        <w:rPr>
          <w:i/>
          <w:sz w:val="26"/>
          <w:lang w:val="es-CO"/>
        </w:rPr>
        <w:t>Entregable 2 — Proyecto integrador Ecommify · Arquitectura políglota</w:t>
      </w:r>
    </w:p>
    <w:p w:rsidR="00D421A3" w:rsidRPr="003E4D28" w:rsidRDefault="003E4D28">
      <w:pPr>
        <w:jc w:val="center"/>
        <w:rPr>
          <w:lang w:val="es-CO"/>
        </w:rPr>
      </w:pPr>
      <w:r w:rsidRPr="003E4D28">
        <w:rPr>
          <w:lang w:val="es-CO"/>
        </w:rPr>
        <w:t>Dataset: Brazilian E-commerce (Olist) · Asignatura EFMAS-DOBD20263 · Junio 2026</w:t>
      </w:r>
    </w:p>
    <w:p w:rsidR="00D421A3" w:rsidRPr="003E4D28" w:rsidRDefault="00D421A3">
      <w:pPr>
        <w:rPr>
          <w:lang w:val="es-CO"/>
        </w:rPr>
      </w:pPr>
    </w:p>
    <w:p w:rsidR="00D421A3" w:rsidRPr="003E4D28" w:rsidRDefault="003E4D28">
      <w:pPr>
        <w:rPr>
          <w:lang w:val="es-CO"/>
        </w:rPr>
      </w:pPr>
      <w:r w:rsidRPr="003E4D28">
        <w:rPr>
          <w:b/>
          <w:lang w:val="es-CO"/>
        </w:rPr>
        <w:t>Equipo de trabajo: E01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421A3">
        <w:tc>
          <w:tcPr>
            <w:tcW w:w="432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432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Código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Camilo José Mora Rodríguez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>0000394950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Carlos Alberto Zambrano Braydi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>0000395349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Alejandro Miguel López Castañeda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>0000385228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Carlos Arturo Salazar Castañeda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>0000393238</w:t>
            </w:r>
          </w:p>
        </w:tc>
      </w:tr>
    </w:tbl>
    <w:p w:rsidR="00D421A3" w:rsidRDefault="00D421A3"/>
    <w:p w:rsidR="00D421A3" w:rsidRDefault="003E4D28">
      <w:r w:rsidRPr="003E4D28">
        <w:rPr>
          <w:i/>
          <w:color w:val="555555"/>
          <w:sz w:val="18"/>
          <w:lang w:val="es-CO"/>
        </w:rPr>
        <w:t xml:space="preserve">Entorno: PostgreSQL 17 sobre Supabase · MongoDB Atlas. </w:t>
      </w:r>
      <w:r>
        <w:rPr>
          <w:i/>
          <w:color w:val="555555"/>
          <w:sz w:val="18"/>
        </w:rPr>
        <w:t xml:space="preserve">Mediciones reales con </w:t>
      </w:r>
      <w:r>
        <w:rPr>
          <w:i/>
          <w:color w:val="555555"/>
          <w:sz w:val="18"/>
        </w:rPr>
        <w:t>EXPLAIN (ANALYZE, BUFFERS) y .explain("executionStats").</w:t>
      </w:r>
    </w:p>
    <w:p w:rsidR="00D421A3" w:rsidRDefault="003E4D28">
      <w:r>
        <w:br w:type="page"/>
      </w:r>
    </w:p>
    <w:p w:rsidR="00D421A3" w:rsidRPr="003E4D28" w:rsidRDefault="003E4D28">
      <w:pPr>
        <w:pStyle w:val="Ttulo1"/>
        <w:rPr>
          <w:lang w:val="es-CO"/>
        </w:rPr>
      </w:pPr>
      <w:r w:rsidRPr="003E4D28">
        <w:rPr>
          <w:color w:val="1F366A"/>
          <w:lang w:val="es-CO"/>
        </w:rPr>
        <w:lastRenderedPageBreak/>
        <w:t>a. Resumen ejecutivo</w:t>
      </w:r>
    </w:p>
    <w:p w:rsidR="00D421A3" w:rsidRPr="003E4D28" w:rsidRDefault="003E4D28">
      <w:pPr>
        <w:rPr>
          <w:lang w:val="es-CO"/>
        </w:rPr>
      </w:pPr>
      <w:r w:rsidRPr="003E4D28">
        <w:rPr>
          <w:lang w:val="es-CO"/>
        </w:rPr>
        <w:t>Ecommify implementa una arquitectura políglota que combina PostgreSQL (núcleo transaccional) y MongoDB (módulo analítico y de catálogo), optimizada para reportes de ventas, aná</w:t>
      </w:r>
      <w:r w:rsidRPr="003E4D28">
        <w:rPr>
          <w:lang w:val="es-CO"/>
        </w:rPr>
        <w:t>lisis de clientes y operación comercial sobre datos reales del dataset Olist (100.000 órdenes).</w:t>
      </w:r>
    </w:p>
    <w:p w:rsidR="00D421A3" w:rsidRDefault="003E4D28">
      <w:r>
        <w:rPr>
          <w:b/>
        </w:rPr>
        <w:t>Principales optimizaciones aplicadas:</w:t>
      </w:r>
    </w:p>
    <w:p w:rsidR="00D421A3" w:rsidRPr="003E4D28" w:rsidRDefault="003E4D28">
      <w:pPr>
        <w:pStyle w:val="Listaconvietas"/>
        <w:rPr>
          <w:lang w:val="es-CO"/>
        </w:rPr>
      </w:pPr>
      <w:r w:rsidRPr="003E4D28">
        <w:rPr>
          <w:lang w:val="es-CO"/>
        </w:rPr>
        <w:t>PostgreSQL: índices especializados (B-tree, parcial, BRIN, covering con INCLUDE), particionamiento por RANGE y reescritura</w:t>
      </w:r>
      <w:r w:rsidRPr="003E4D28">
        <w:rPr>
          <w:lang w:val="es-CO"/>
        </w:rPr>
        <w:t xml:space="preserve"> de consultas críticas (CTEs).</w:t>
      </w:r>
    </w:p>
    <w:p w:rsidR="00D421A3" w:rsidRPr="003E4D28" w:rsidRDefault="003E4D28">
      <w:pPr>
        <w:pStyle w:val="Listaconvietas"/>
        <w:rPr>
          <w:lang w:val="es-CO"/>
        </w:rPr>
      </w:pPr>
      <w:r w:rsidRPr="003E4D28">
        <w:rPr>
          <w:lang w:val="es-CO"/>
        </w:rPr>
        <w:t>MongoDB: patrones de documento (Attribute/Embedding, Computed, Referenced), índices con regla ESR, índice parcial e índice de texto, y aggregation pipeline de 7 stages.</w:t>
      </w:r>
    </w:p>
    <w:p w:rsidR="00D421A3" w:rsidRDefault="003E4D28">
      <w:r>
        <w:rPr>
          <w:b/>
        </w:rPr>
        <w:t>Resultados cuantitativos destacados:</w:t>
      </w:r>
    </w:p>
    <w:p w:rsidR="00D421A3" w:rsidRPr="003E4D28" w:rsidRDefault="003E4D28">
      <w:pPr>
        <w:pStyle w:val="Listaconvietas"/>
        <w:rPr>
          <w:lang w:val="es-CO"/>
        </w:rPr>
      </w:pPr>
      <w:r w:rsidRPr="003E4D28">
        <w:rPr>
          <w:lang w:val="es-CO"/>
        </w:rPr>
        <w:t>Índices en consulta</w:t>
      </w:r>
      <w:r w:rsidRPr="003E4D28">
        <w:rPr>
          <w:lang w:val="es-CO"/>
        </w:rPr>
        <w:t>s filtradas: hasta 97,7 % de mejora (Seq Scan → Index Scan).</w:t>
      </w:r>
    </w:p>
    <w:p w:rsidR="00D421A3" w:rsidRDefault="003E4D28">
      <w:pPr>
        <w:pStyle w:val="Listaconvietas"/>
      </w:pPr>
      <w:r>
        <w:t>Particionamiento (partition pruning): 79,6 % (15,07 → 3,07 ms).</w:t>
      </w:r>
    </w:p>
    <w:p w:rsidR="00D421A3" w:rsidRPr="003E4D28" w:rsidRDefault="003E4D28">
      <w:pPr>
        <w:pStyle w:val="Listaconvietas"/>
        <w:rPr>
          <w:lang w:val="es-CO"/>
        </w:rPr>
      </w:pPr>
      <w:r w:rsidRPr="003E4D28">
        <w:rPr>
          <w:lang w:val="es-CO"/>
        </w:rPr>
        <w:t>Reescritura de ventas por categoría: 50,8 % (15,68 → 7,72 ms).</w:t>
      </w:r>
    </w:p>
    <w:p w:rsidR="00D421A3" w:rsidRDefault="003E4D28">
      <w:pPr>
        <w:pStyle w:val="Listaconvietas"/>
      </w:pPr>
      <w:r>
        <w:t>MongoDB, índice compuesto ESR: docsExamined 1.000 → 198 (−80,2 %), 1</w:t>
      </w:r>
      <w:r>
        <w:t>8,4 → 1,8 ms.</w:t>
      </w:r>
    </w:p>
    <w:p w:rsidR="00D421A3" w:rsidRPr="003E4D28" w:rsidRDefault="003E4D28">
      <w:pPr>
        <w:pStyle w:val="Listaconvietas"/>
        <w:rPr>
          <w:lang w:val="es-CO"/>
        </w:rPr>
      </w:pPr>
      <w:r w:rsidRPr="003E4D28">
        <w:rPr>
          <w:lang w:val="es-CO"/>
        </w:rPr>
        <w:t>MongoDB, pipeline analítico optimizado: 84,9 % (284 → 43 ms).</w:t>
      </w:r>
    </w:p>
    <w:p w:rsidR="00D421A3" w:rsidRPr="003E4D28" w:rsidRDefault="003E4D28">
      <w:pPr>
        <w:pStyle w:val="Ttulo1"/>
        <w:rPr>
          <w:lang w:val="es-CO"/>
        </w:rPr>
      </w:pPr>
      <w:r w:rsidRPr="003E4D28">
        <w:rPr>
          <w:color w:val="1F366A"/>
          <w:lang w:val="es-CO"/>
        </w:rPr>
        <w:t>b. Implementación PostgreSQL</w:t>
      </w:r>
    </w:p>
    <w:p w:rsidR="00D421A3" w:rsidRPr="003E4D28" w:rsidRDefault="003E4D28">
      <w:pPr>
        <w:pStyle w:val="Ttulo2"/>
        <w:rPr>
          <w:lang w:val="es-CO"/>
        </w:rPr>
      </w:pPr>
      <w:r w:rsidRPr="003E4D28">
        <w:rPr>
          <w:color w:val="1F366A"/>
          <w:lang w:val="es-CO"/>
        </w:rPr>
        <w:t>b.1 Scripts DDL y volumen real</w:t>
      </w:r>
    </w:p>
    <w:p w:rsidR="00D421A3" w:rsidRPr="003E4D28" w:rsidRDefault="003E4D28">
      <w:pPr>
        <w:rPr>
          <w:lang w:val="es-CO"/>
        </w:rPr>
      </w:pPr>
      <w:r w:rsidRPr="003E4D28">
        <w:rPr>
          <w:lang w:val="es-CO"/>
        </w:rPr>
        <w:t>Esquema relacional con la estructura real de Olist (8 tablas) con PK, FK y constraints. DDL completo en postgresql/schem</w:t>
      </w:r>
      <w:r w:rsidRPr="003E4D28">
        <w:rPr>
          <w:lang w:val="es-CO"/>
        </w:rPr>
        <w:t>a/. La tabla orders se migró a un esquema particionado (orders_part) por RANGE de order_purchase_timestamp.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421A3"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Registros</w:t>
            </w:r>
          </w:p>
        </w:tc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Tamaño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orders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100.000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13 MB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order_items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15.000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1.760 kB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order_payments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5.000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528 kB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customers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1.000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144 kB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products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500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 xml:space="preserve">104 </w:t>
            </w:r>
            <w:r>
              <w:rPr>
                <w:sz w:val="18"/>
              </w:rPr>
              <w:t>kB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categories / sellers / geolocations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20 / 100 / 100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—</w:t>
            </w:r>
          </w:p>
        </w:tc>
      </w:tr>
    </w:tbl>
    <w:p w:rsidR="00D421A3" w:rsidRDefault="00D421A3"/>
    <w:p w:rsidR="00D421A3" w:rsidRDefault="003E4D28">
      <w:r>
        <w:t>Estado de order_status: delivered 69.516 · shipped 29.424 · processing 1.060 (1,06 %).</w:t>
      </w:r>
    </w:p>
    <w:p w:rsidR="00D421A3" w:rsidRDefault="003E4D28">
      <w:pPr>
        <w:pStyle w:val="Ttulo2"/>
      </w:pPr>
      <w:r>
        <w:rPr>
          <w:color w:val="1F366A"/>
        </w:rPr>
        <w:t>b.2 Estrategia de indexación justificada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421A3"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Tipo de consulta / filtro</w:t>
            </w:r>
          </w:p>
        </w:tc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Índice</w:t>
            </w:r>
          </w:p>
        </w:tc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Justificación técnica</w:t>
            </w:r>
          </w:p>
        </w:tc>
      </w:tr>
      <w:tr w:rsidR="00D421A3" w:rsidRPr="003E4D28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Llaves foráne</w:t>
            </w:r>
            <w:r>
              <w:rPr>
                <w:sz w:val="18"/>
              </w:rPr>
              <w:t>as y JOINs recurrentes (customer_id, order_id, product_id, seller_id, category_id)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B-Tree</w:t>
            </w:r>
          </w:p>
        </w:tc>
        <w:tc>
          <w:tcPr>
            <w:tcW w:w="2880" w:type="dxa"/>
          </w:tcPr>
          <w:p w:rsidR="00D421A3" w:rsidRPr="003E4D28" w:rsidRDefault="003E4D28">
            <w:pPr>
              <w:rPr>
                <w:lang w:val="es-CO"/>
              </w:rPr>
            </w:pPr>
            <w:r w:rsidRPr="003E4D28">
              <w:rPr>
                <w:sz w:val="18"/>
                <w:lang w:val="es-CO"/>
              </w:rPr>
              <w:t>Columnas usadas frecuentemente en Hash Joins; B-Tree es de bajo costo y alta eficiencia.</w:t>
            </w:r>
          </w:p>
        </w:tc>
      </w:tr>
      <w:tr w:rsidR="00D421A3" w:rsidRPr="003E4D28">
        <w:tc>
          <w:tcPr>
            <w:tcW w:w="2880" w:type="dxa"/>
          </w:tcPr>
          <w:p w:rsidR="00D421A3" w:rsidRDefault="003E4D28">
            <w:r w:rsidRPr="003E4D28">
              <w:rPr>
                <w:sz w:val="18"/>
                <w:lang w:val="es-CO"/>
              </w:rPr>
              <w:t xml:space="preserve">Estado específico u operaciones anómalas (p. ej. </w:t>
            </w:r>
            <w:r>
              <w:rPr>
                <w:sz w:val="18"/>
              </w:rPr>
              <w:t>'processing')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Parcial</w:t>
            </w:r>
          </w:p>
        </w:tc>
        <w:tc>
          <w:tcPr>
            <w:tcW w:w="2880" w:type="dxa"/>
          </w:tcPr>
          <w:p w:rsidR="00D421A3" w:rsidRPr="003E4D28" w:rsidRDefault="003E4D28">
            <w:pPr>
              <w:rPr>
                <w:lang w:val="es-CO"/>
              </w:rPr>
            </w:pPr>
            <w:r w:rsidRPr="003E4D28">
              <w:rPr>
                <w:sz w:val="18"/>
                <w:lang w:val="es-CO"/>
              </w:rPr>
              <w:t>Optimiza búsquedas críticas de un subconjunto pequeño sin ocupar el espacio del resto de la tabla.</w:t>
            </w:r>
          </w:p>
        </w:tc>
      </w:tr>
      <w:tr w:rsidR="00D421A3" w:rsidRPr="003E4D28">
        <w:tc>
          <w:tcPr>
            <w:tcW w:w="2880" w:type="dxa"/>
          </w:tcPr>
          <w:p w:rsidR="00D421A3" w:rsidRDefault="003E4D28">
            <w:r>
              <w:rPr>
                <w:sz w:val="18"/>
              </w:rPr>
              <w:lastRenderedPageBreak/>
              <w:t>Filtros geográficos o regionales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B-Tree</w:t>
            </w:r>
          </w:p>
        </w:tc>
        <w:tc>
          <w:tcPr>
            <w:tcW w:w="2880" w:type="dxa"/>
          </w:tcPr>
          <w:p w:rsidR="00D421A3" w:rsidRPr="003E4D28" w:rsidRDefault="003E4D28">
            <w:pPr>
              <w:rPr>
                <w:lang w:val="es-CO"/>
              </w:rPr>
            </w:pPr>
            <w:r w:rsidRPr="003E4D28">
              <w:rPr>
                <w:sz w:val="18"/>
                <w:lang w:val="es-CO"/>
              </w:rPr>
              <w:t>Agiliza las agrupaciones de métricas de ventas por ubicación.</w:t>
            </w:r>
          </w:p>
        </w:tc>
      </w:tr>
      <w:tr w:rsidR="00D421A3" w:rsidRPr="003E4D28">
        <w:tc>
          <w:tcPr>
            <w:tcW w:w="2880" w:type="dxa"/>
          </w:tcPr>
          <w:p w:rsidR="00D421A3" w:rsidRPr="003E4D28" w:rsidRDefault="003E4D28">
            <w:pPr>
              <w:rPr>
                <w:lang w:val="es-CO"/>
              </w:rPr>
            </w:pPr>
            <w:r w:rsidRPr="003E4D28">
              <w:rPr>
                <w:sz w:val="18"/>
                <w:lang w:val="es-CO"/>
              </w:rPr>
              <w:t>Rangos de fecha de gran volumen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BRIN</w:t>
            </w:r>
          </w:p>
        </w:tc>
        <w:tc>
          <w:tcPr>
            <w:tcW w:w="2880" w:type="dxa"/>
          </w:tcPr>
          <w:p w:rsidR="00D421A3" w:rsidRPr="003E4D28" w:rsidRDefault="003E4D28">
            <w:pPr>
              <w:rPr>
                <w:lang w:val="es-CO"/>
              </w:rPr>
            </w:pPr>
            <w:r w:rsidRPr="003E4D28">
              <w:rPr>
                <w:sz w:val="18"/>
                <w:lang w:val="es-CO"/>
              </w:rPr>
              <w:t>Índice d</w:t>
            </w:r>
            <w:r w:rsidRPr="003E4D28">
              <w:rPr>
                <w:sz w:val="18"/>
                <w:lang w:val="es-CO"/>
              </w:rPr>
              <w:t>iminuto orientado a la escalabilidad del histórico de órdenes.</w:t>
            </w:r>
          </w:p>
        </w:tc>
      </w:tr>
      <w:tr w:rsidR="00D421A3" w:rsidRPr="003E4D28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Atributos no estructurados (JSONB)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No aplica</w:t>
            </w:r>
          </w:p>
        </w:tc>
        <w:tc>
          <w:tcPr>
            <w:tcW w:w="2880" w:type="dxa"/>
          </w:tcPr>
          <w:p w:rsidR="00D421A3" w:rsidRPr="003E4D28" w:rsidRDefault="003E4D28">
            <w:pPr>
              <w:rPr>
                <w:lang w:val="es-CO"/>
              </w:rPr>
            </w:pPr>
            <w:r w:rsidRPr="003E4D28">
              <w:rPr>
                <w:sz w:val="18"/>
                <w:lang w:val="es-CO"/>
              </w:rPr>
              <w:t>El esquema relacional no usa campos JSONB; no se requieren índices GIN en esta entrega.</w:t>
            </w:r>
          </w:p>
        </w:tc>
      </w:tr>
      <w:tr w:rsidR="00D421A3" w:rsidRPr="003E4D28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Búsquedas textuales complejas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No aplica</w:t>
            </w:r>
          </w:p>
        </w:tc>
        <w:tc>
          <w:tcPr>
            <w:tcW w:w="2880" w:type="dxa"/>
          </w:tcPr>
          <w:p w:rsidR="00D421A3" w:rsidRPr="003E4D28" w:rsidRDefault="003E4D28">
            <w:pPr>
              <w:rPr>
                <w:lang w:val="es-CO"/>
              </w:rPr>
            </w:pPr>
            <w:r w:rsidRPr="003E4D28">
              <w:rPr>
                <w:sz w:val="18"/>
                <w:lang w:val="es-CO"/>
              </w:rPr>
              <w:t>Las consultas se b</w:t>
            </w:r>
            <w:r w:rsidRPr="003E4D28">
              <w:rPr>
                <w:sz w:val="18"/>
                <w:lang w:val="es-CO"/>
              </w:rPr>
              <w:t>asan en relaciones y filtros exactos; no hay full-text.</w:t>
            </w:r>
          </w:p>
        </w:tc>
      </w:tr>
    </w:tbl>
    <w:p w:rsidR="00D421A3" w:rsidRPr="003E4D28" w:rsidRDefault="00D421A3">
      <w:pPr>
        <w:rPr>
          <w:lang w:val="es-CO"/>
        </w:rPr>
      </w:pPr>
    </w:p>
    <w:p w:rsidR="00D421A3" w:rsidRDefault="003E4D28">
      <w:pPr>
        <w:pStyle w:val="Ttulo2"/>
      </w:pPr>
      <w:r>
        <w:rPr>
          <w:color w:val="1F366A"/>
        </w:rPr>
        <w:t>b.3 Índices creados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01"/>
        <w:gridCol w:w="2040"/>
        <w:gridCol w:w="2037"/>
        <w:gridCol w:w="2078"/>
      </w:tblGrid>
      <w:tr w:rsidR="00D421A3"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Índice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Patrón que optimiza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idx_orders_customer_id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B-Tree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704 kB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JOIN/filtro por customer_id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idx_order_items_product_id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B-Tree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128 kB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 xml:space="preserve">JOIN/filtro por </w:t>
            </w:r>
            <w:r>
              <w:rPr>
                <w:sz w:val="18"/>
              </w:rPr>
              <w:t>product_id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idx_order_items_seller_id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B-Tree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120 kB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JOIN/filtro por seller_id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idx_order_items_seller_incl_price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B-Tree + INCLUDE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480 kB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Agregación de price (Index Only Scan)</w:t>
            </w:r>
          </w:p>
        </w:tc>
      </w:tr>
      <w:tr w:rsidR="00D421A3" w:rsidRPr="003E4D28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idx_orders_processing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Parcial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40 kB</w:t>
            </w:r>
          </w:p>
        </w:tc>
        <w:tc>
          <w:tcPr>
            <w:tcW w:w="2160" w:type="dxa"/>
          </w:tcPr>
          <w:p w:rsidR="00D421A3" w:rsidRPr="003E4D28" w:rsidRDefault="003E4D28">
            <w:pPr>
              <w:rPr>
                <w:lang w:val="es-CO"/>
              </w:rPr>
            </w:pPr>
            <w:r w:rsidRPr="003E4D28">
              <w:rPr>
                <w:sz w:val="18"/>
                <w:lang w:val="es-CO"/>
              </w:rPr>
              <w:t>Pedidos 'processing' (1 % de la tabla)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idx_orders_purchase_brin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BRIN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24 kB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Rangos de fecha (escalabilidad)</w:t>
            </w:r>
          </w:p>
        </w:tc>
      </w:tr>
    </w:tbl>
    <w:p w:rsidR="00D421A3" w:rsidRDefault="00D421A3"/>
    <w:p w:rsidR="00D421A3" w:rsidRDefault="003E4D28">
      <w:pPr>
        <w:pStyle w:val="Ttulo2"/>
      </w:pPr>
      <w:r>
        <w:rPr>
          <w:color w:val="1F366A"/>
        </w:rPr>
        <w:t>b.4 Particionamiento aplicado</w:t>
      </w:r>
    </w:p>
    <w:p w:rsidR="00D421A3" w:rsidRDefault="003E4D28">
      <w:pPr>
        <w:pStyle w:val="Listaconvietas"/>
      </w:pPr>
      <w:r>
        <w:t>Tabla: orders (100.000 filas) · Columna: order_purchase_timestamp</w:t>
      </w:r>
    </w:p>
    <w:p w:rsidR="00D421A3" w:rsidRPr="003E4D28" w:rsidRDefault="003E4D28">
      <w:pPr>
        <w:pStyle w:val="Listaconvietas"/>
        <w:rPr>
          <w:lang w:val="es-CO"/>
        </w:rPr>
      </w:pPr>
      <w:r w:rsidRPr="003E4D28">
        <w:rPr>
          <w:lang w:val="es-CO"/>
        </w:rPr>
        <w:t>Tipo: RANGE · Granularidad: mensual (14 particiones + DEFAULT) · índices locales por parti</w:t>
      </w:r>
      <w:r w:rsidRPr="003E4D28">
        <w:rPr>
          <w:lang w:val="es-CO"/>
        </w:rPr>
        <w:t>ción</w:t>
      </w:r>
    </w:p>
    <w:p w:rsidR="00D421A3" w:rsidRPr="003E4D28" w:rsidRDefault="003E4D28">
      <w:pPr>
        <w:pStyle w:val="Listaconvietas"/>
        <w:rPr>
          <w:lang w:val="es-CO"/>
        </w:rPr>
      </w:pPr>
      <w:r w:rsidRPr="003E4D28">
        <w:rPr>
          <w:lang w:val="es-CO"/>
        </w:rPr>
        <w:t>Cada partición pesa ~870 kB con ~8.000 filas, manteniendo bloques predecibles para los reportes.</w:t>
      </w:r>
    </w:p>
    <w:p w:rsidR="00D421A3" w:rsidRPr="003E4D28" w:rsidRDefault="003E4D28">
      <w:pPr>
        <w:pStyle w:val="Listaconvietas"/>
        <w:rPr>
          <w:lang w:val="es-CO"/>
        </w:rPr>
      </w:pPr>
      <w:r w:rsidRPr="003E4D28">
        <w:rPr>
          <w:lang w:val="es-CO"/>
        </w:rPr>
        <w:t>Mantenimiento: retención 24 meses, archivado vía DETACH PARTITION hacia cold storage, creación automática de la partición del mes siguiente con pg_cron.</w:t>
      </w:r>
    </w:p>
    <w:p w:rsidR="00D421A3" w:rsidRDefault="003E4D28">
      <w:r>
        <w:rPr>
          <w:b/>
        </w:rPr>
        <w:t>V</w:t>
      </w:r>
      <w:r>
        <w:rPr>
          <w:b/>
        </w:rPr>
        <w:t>alidación — partition pruning: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421A3"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Exec (ms)</w:t>
            </w:r>
          </w:p>
        </w:tc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Relaciones escaneadas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Sin particionamiento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15,07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orders (tabla completa)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Con particionamiento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3,07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orders_part_202512 (1 partición)</w:t>
            </w:r>
          </w:p>
        </w:tc>
      </w:tr>
    </w:tbl>
    <w:p w:rsidR="00D421A3" w:rsidRDefault="00D421A3"/>
    <w:p w:rsidR="00D421A3" w:rsidRPr="003E4D28" w:rsidRDefault="003E4D28">
      <w:pPr>
        <w:rPr>
          <w:lang w:val="es-CO"/>
        </w:rPr>
      </w:pPr>
      <w:r w:rsidRPr="003E4D28">
        <w:rPr>
          <w:lang w:val="es-CO"/>
        </w:rPr>
        <w:t xml:space="preserve">Mejora: 79,6 % — el planificador descarta 13 particiones y solo </w:t>
      </w:r>
      <w:r w:rsidRPr="003E4D28">
        <w:rPr>
          <w:lang w:val="es-CO"/>
        </w:rPr>
        <w:t>lee una.</w:t>
      </w:r>
    </w:p>
    <w:p w:rsidR="00D421A3" w:rsidRDefault="003E4D28">
      <w:pPr>
        <w:jc w:val="center"/>
      </w:pPr>
      <w:r>
        <w:rPr>
          <w:noProof/>
        </w:rPr>
        <w:lastRenderedPageBreak/>
        <w:drawing>
          <wp:inline distT="0" distB="0" distL="0" distR="0">
            <wp:extent cx="5486400" cy="156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icion_pruning_expl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Pr="003E4D28" w:rsidRDefault="003E4D28">
      <w:pPr>
        <w:jc w:val="center"/>
        <w:rPr>
          <w:lang w:val="es-CO"/>
        </w:rPr>
      </w:pPr>
      <w:r w:rsidRPr="003E4D28">
        <w:rPr>
          <w:i/>
          <w:color w:val="555555"/>
          <w:sz w:val="18"/>
          <w:lang w:val="es-CO"/>
        </w:rPr>
        <w:t>Figura. EXPLAIN (ANALYZE, BUFFERS) de la consulta por rango sobre orders_part (partition pruning).</w:t>
      </w:r>
    </w:p>
    <w:p w:rsidR="00D421A3" w:rsidRPr="003E4D28" w:rsidRDefault="003E4D28">
      <w:pPr>
        <w:pStyle w:val="Ttulo2"/>
        <w:rPr>
          <w:lang w:val="es-CO"/>
        </w:rPr>
      </w:pPr>
      <w:r w:rsidRPr="003E4D28">
        <w:rPr>
          <w:color w:val="1F366A"/>
          <w:lang w:val="es-CO"/>
        </w:rPr>
        <w:t>b.5 Queries críticas optimizadas</w:t>
      </w:r>
    </w:p>
    <w:p w:rsidR="00D421A3" w:rsidRPr="003E4D28" w:rsidRDefault="003E4D28">
      <w:pPr>
        <w:rPr>
          <w:lang w:val="es-CO"/>
        </w:rPr>
      </w:pPr>
      <w:r w:rsidRPr="003E4D28">
        <w:rPr>
          <w:lang w:val="es-CO"/>
        </w:rPr>
        <w:t>Se priorizaron 5 consultas por frecuencia e impacto en el negocio (Q1–Q5). Sobre ellas se aplicaron tres técnicas</w:t>
      </w:r>
      <w:r w:rsidRPr="003E4D28">
        <w:rPr>
          <w:lang w:val="es-CO"/>
        </w:rPr>
        <w:t xml:space="preserve"> de reescritura, cada una justificada por su plan de ejecución: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421A3"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Consulta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Después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Mejora</w:t>
            </w:r>
          </w:p>
        </w:tc>
      </w:tr>
      <w:tr w:rsidR="00D421A3"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1. Pre-agregación en CTE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Q1 Ventas por categoría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15,68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7,72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50,8 %</w:t>
            </w:r>
          </w:p>
        </w:tc>
      </w:tr>
      <w:tr w:rsidR="00D421A3">
        <w:tc>
          <w:tcPr>
            <w:tcW w:w="1728" w:type="dxa"/>
          </w:tcPr>
          <w:p w:rsidR="00D421A3" w:rsidRPr="003E4D28" w:rsidRDefault="003E4D28">
            <w:pPr>
              <w:rPr>
                <w:lang w:val="es-CO"/>
              </w:rPr>
            </w:pPr>
            <w:r w:rsidRPr="003E4D28">
              <w:rPr>
                <w:sz w:val="18"/>
                <w:lang w:val="es-CO"/>
              </w:rPr>
              <w:t>2. Corrección de fan-out con CTEs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Q5 Reporte de órdenes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60,69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48,48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20,1 %</w:t>
            </w:r>
          </w:p>
        </w:tc>
      </w:tr>
      <w:tr w:rsidR="00D421A3">
        <w:tc>
          <w:tcPr>
            <w:tcW w:w="1728" w:type="dxa"/>
          </w:tcPr>
          <w:p w:rsidR="00D421A3" w:rsidRDefault="003E4D28">
            <w:r>
              <w:rPr>
                <w:sz w:val="18"/>
              </w:rPr>
              <w:t>3. Eliminación de JOIN redundante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Q3 Clientes top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29,97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28,25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5,7 %</w:t>
            </w:r>
          </w:p>
        </w:tc>
      </w:tr>
    </w:tbl>
    <w:p w:rsidR="00D421A3" w:rsidRDefault="00D421A3"/>
    <w:p w:rsidR="00D421A3" w:rsidRPr="003E4D28" w:rsidRDefault="003E4D28">
      <w:pPr>
        <w:rPr>
          <w:lang w:val="es-CO"/>
        </w:rPr>
      </w:pPr>
      <w:r w:rsidRPr="003E4D28">
        <w:rPr>
          <w:lang w:val="es-CO"/>
        </w:rPr>
        <w:t>Técnica 1 — Pre-agregación en CTE (Q1): agregar order_items por producto antes de unir con products y categories reduce las filas que entran al JOIN (15.000 → ~500).</w:t>
      </w:r>
    </w:p>
    <w:p w:rsidR="00D421A3" w:rsidRDefault="003E4D28">
      <w:pPr>
        <w:jc w:val="center"/>
      </w:pPr>
      <w:r>
        <w:rPr>
          <w:noProof/>
        </w:rPr>
        <w:drawing>
          <wp:inline distT="0" distB="0" distL="0" distR="0">
            <wp:extent cx="5486400" cy="2254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cte_antes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Pr="003E4D28" w:rsidRDefault="003E4D28">
      <w:pPr>
        <w:jc w:val="center"/>
        <w:rPr>
          <w:lang w:val="es-CO"/>
        </w:rPr>
      </w:pPr>
      <w:r w:rsidRPr="003E4D28">
        <w:rPr>
          <w:i/>
          <w:color w:val="555555"/>
          <w:sz w:val="18"/>
          <w:lang w:val="es-CO"/>
        </w:rPr>
        <w:t>Figura 4a. EXPLAIN de Q1 original (Seq Scan).</w:t>
      </w:r>
    </w:p>
    <w:p w:rsidR="00D421A3" w:rsidRDefault="003E4D28">
      <w:pPr>
        <w:jc w:val="center"/>
      </w:pPr>
      <w:r>
        <w:rPr>
          <w:noProof/>
        </w:rPr>
        <w:lastRenderedPageBreak/>
        <w:drawing>
          <wp:inline distT="0" distB="0" distL="0" distR="0">
            <wp:extent cx="5486400" cy="2901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cte_despues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Pr="003E4D28" w:rsidRDefault="003E4D28">
      <w:pPr>
        <w:jc w:val="center"/>
        <w:rPr>
          <w:lang w:val="es-CO"/>
        </w:rPr>
      </w:pPr>
      <w:r w:rsidRPr="003E4D28">
        <w:rPr>
          <w:i/>
          <w:color w:val="555555"/>
          <w:sz w:val="18"/>
          <w:lang w:val="es-CO"/>
        </w:rPr>
        <w:t>Figura 4b. EXPLAIN de Q1 reescrita con CTE (8,6 ms).</w:t>
      </w:r>
    </w:p>
    <w:p w:rsidR="00D421A3" w:rsidRPr="003E4D28" w:rsidRDefault="003E4D28">
      <w:pPr>
        <w:rPr>
          <w:lang w:val="es-CO"/>
        </w:rPr>
      </w:pPr>
      <w:r w:rsidRPr="003E4D28">
        <w:rPr>
          <w:lang w:val="es-CO"/>
        </w:rPr>
        <w:t>Técnica 2 — Corrección de fan-out con CTEs (Q5): Q5 unía order_items y order_payments al mismo order_id, multiplicando filas (ítems × pagos) e inflando los</w:t>
      </w:r>
      <w:r w:rsidRPr="003E4D28">
        <w:rPr>
          <w:lang w:val="es-CO"/>
        </w:rPr>
        <w:t xml:space="preserve"> SUM. Pre-agregar cada lado en su propia CTE corrige el doble conteo: mejora de rendimiento y de correctitud a la vez.</w:t>
      </w:r>
    </w:p>
    <w:p w:rsidR="00D421A3" w:rsidRDefault="003E4D28">
      <w:pPr>
        <w:jc w:val="center"/>
      </w:pPr>
      <w:r>
        <w:rPr>
          <w:noProof/>
        </w:rPr>
        <w:drawing>
          <wp:inline distT="0" distB="0" distL="0" distR="0">
            <wp:extent cx="5486400" cy="274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fanout_ant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Default="003E4D28">
      <w:pPr>
        <w:jc w:val="center"/>
      </w:pPr>
      <w:r>
        <w:rPr>
          <w:i/>
          <w:color w:val="555555"/>
          <w:sz w:val="18"/>
        </w:rPr>
        <w:t>Figura 5a. EXPLAIN de Q5 original (fan-out).</w:t>
      </w:r>
    </w:p>
    <w:p w:rsidR="00D421A3" w:rsidRDefault="003E4D28">
      <w:pPr>
        <w:jc w:val="center"/>
      </w:pPr>
      <w:r>
        <w:rPr>
          <w:noProof/>
        </w:rPr>
        <w:lastRenderedPageBreak/>
        <w:drawing>
          <wp:inline distT="0" distB="0" distL="0" distR="0">
            <wp:extent cx="548640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fanout_desp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Pr="003E4D28" w:rsidRDefault="003E4D28">
      <w:pPr>
        <w:jc w:val="center"/>
        <w:rPr>
          <w:lang w:val="es-CO"/>
        </w:rPr>
      </w:pPr>
      <w:r w:rsidRPr="003E4D28">
        <w:rPr>
          <w:i/>
          <w:color w:val="555555"/>
          <w:sz w:val="18"/>
          <w:lang w:val="es-CO"/>
        </w:rPr>
        <w:t>Figura 5b. EXPLAIN de Q5 reescrita con CTEs.</w:t>
      </w:r>
    </w:p>
    <w:p w:rsidR="00D421A3" w:rsidRPr="003E4D28" w:rsidRDefault="003E4D28">
      <w:pPr>
        <w:rPr>
          <w:lang w:val="es-CO"/>
        </w:rPr>
      </w:pPr>
      <w:r w:rsidRPr="003E4D28">
        <w:rPr>
          <w:lang w:val="es-CO"/>
        </w:rPr>
        <w:t xml:space="preserve">Técnica 3 — Eliminación de JOIN redundante </w:t>
      </w:r>
      <w:r w:rsidRPr="003E4D28">
        <w:rPr>
          <w:lang w:val="es-CO"/>
        </w:rPr>
        <w:t>(Q3): Q3 unía customers solo para leer customer_id, columna que ya existe en orders; eliminar ese JOIN quita una tabla del plan sin cambiar el resultado.</w:t>
      </w:r>
    </w:p>
    <w:p w:rsidR="00D421A3" w:rsidRDefault="003E4D28">
      <w:pPr>
        <w:jc w:val="center"/>
      </w:pPr>
      <w:r>
        <w:rPr>
          <w:noProof/>
        </w:rPr>
        <w:drawing>
          <wp:inline distT="0" distB="0" distL="0" distR="0">
            <wp:extent cx="5486400" cy="2044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join_redundante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Pr="003E4D28" w:rsidRDefault="003E4D28">
      <w:pPr>
        <w:jc w:val="center"/>
        <w:rPr>
          <w:lang w:val="es-CO"/>
        </w:rPr>
      </w:pPr>
      <w:r w:rsidRPr="003E4D28">
        <w:rPr>
          <w:i/>
          <w:color w:val="555555"/>
          <w:sz w:val="18"/>
          <w:lang w:val="es-CO"/>
        </w:rPr>
        <w:t>Figura 6. EXPLAIN de Q3 original (3 tablas) vs. reescrita (2 tablas).</w:t>
      </w:r>
    </w:p>
    <w:p w:rsidR="00D421A3" w:rsidRDefault="003E4D28">
      <w:pPr>
        <w:pStyle w:val="Ttulo1"/>
      </w:pPr>
      <w:r>
        <w:rPr>
          <w:color w:val="1F366A"/>
        </w:rPr>
        <w:t>c. Implementación MongoDB</w:t>
      </w:r>
    </w:p>
    <w:p w:rsidR="00D421A3" w:rsidRDefault="003E4D28">
      <w:pPr>
        <w:pStyle w:val="Ttulo2"/>
      </w:pPr>
      <w:r>
        <w:rPr>
          <w:color w:val="1F366A"/>
        </w:rPr>
        <w:t xml:space="preserve">c.1 </w:t>
      </w:r>
      <w:r>
        <w:rPr>
          <w:color w:val="1F366A"/>
        </w:rPr>
        <w:t>Colecciones, esquemas y validación</w:t>
      </w:r>
    </w:p>
    <w:p w:rsidR="00D421A3" w:rsidRDefault="003E4D28">
      <w:r>
        <w:t>El módulo analítico se implementó en MongoDB Atlas con dos colecciones. Cada colección refleja cómo la aplicación consulta los datos: los productos embeben sus especificaciones variables y métricas precalculadas; las rese</w:t>
      </w:r>
      <w:r>
        <w:t>ñas se mantienen separadas porque su ciclo de escritura es independiente del catálogo.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421A3"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lastRenderedPageBreak/>
              <w:t>Colección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Patrón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Decisión de modelado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products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1.000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Attribute/Embedding + Computed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 xml:space="preserve">Specs embebidas (varían por categoría) y métricas precalculadas </w:t>
            </w:r>
            <w:r>
              <w:rPr>
                <w:sz w:val="18"/>
              </w:rPr>
              <w:t>(total_units_sold, average_rating) para evitar aggregations en cada lectura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order_reviews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500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Referenced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Escritura alta e independiente del catálogo; embeber generaría documentos de crecimiento ilimitado</w:t>
            </w:r>
          </w:p>
        </w:tc>
      </w:tr>
    </w:tbl>
    <w:p w:rsidR="00D421A3" w:rsidRDefault="00D421A3"/>
    <w:p w:rsidR="00D421A3" w:rsidRDefault="003E4D28">
      <w:r>
        <w:rPr>
          <w:b/>
        </w:rPr>
        <w:t>Documento de ejemplo (products) con Attribute Pat</w:t>
      </w:r>
      <w:r>
        <w:rPr>
          <w:b/>
        </w:rPr>
        <w:t>tern + Computed Pattern: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421A3">
        <w:tc>
          <w:tcPr>
            <w:tcW w:w="8640" w:type="dxa"/>
            <w:shd w:val="clear" w:color="auto" w:fill="F4F4F4"/>
          </w:tcPr>
          <w:p w:rsidR="00D421A3" w:rsidRDefault="003E4D28">
            <w:r>
              <w:rPr>
                <w:rFonts w:ascii="Consolas" w:hAnsi="Consolas"/>
                <w:sz w:val="17"/>
              </w:rPr>
              <w:t>{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 xml:space="preserve">  "_id": "PROD-0001",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 xml:space="preserve">  "name": "Producto Computers 1",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 xml:space="preserve">  "category": { "id": 1, "name": "Computers" },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 xml:space="preserve">  "price": { "amount": 1245.50, "currency": "USD" },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 xml:space="preserve">  "seller_id": "SELL-023",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 xml:space="preserve">  "status": "ACTIVE",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 xml:space="preserve">  "specifications": { "processor": "Intel i5", "ram": "16GB", "storage": "512GB SSD" },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 xml:space="preserve">  "computed_metrics": {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 xml:space="preserve">    "total_units_sold": 312, "average_rating": 4.3,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 xml:space="preserve">    "total_reviews": 87, "last_updated": "2026-06-01T00:00:00Z"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 xml:space="preserve">  }</w:t>
            </w:r>
          </w:p>
          <w:p w:rsidR="00D421A3" w:rsidRDefault="003E4D28"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:rsidR="00D421A3" w:rsidRDefault="00D421A3"/>
    <w:p w:rsidR="00D421A3" w:rsidRDefault="003E4D28">
      <w:r>
        <w:t>Ambas colecciones se</w:t>
      </w:r>
      <w:r>
        <w:t xml:space="preserve"> crean con validación JSON Schema ($jsonSchema, validationAction:"error"); el código completo de los validadores está en mongodb/schema/01_collections_schema.js.</w:t>
      </w:r>
    </w:p>
    <w:p w:rsidR="00D421A3" w:rsidRDefault="003E4D28">
      <w:pPr>
        <w:pStyle w:val="Ttulo2"/>
      </w:pPr>
      <w:r>
        <w:rPr>
          <w:color w:val="1F366A"/>
        </w:rPr>
        <w:t>c.2 Índices (regla ESR) y validación</w:t>
      </w:r>
    </w:p>
    <w:p w:rsidR="00D421A3" w:rsidRDefault="003E4D28">
      <w:r>
        <w:t>Se implementaron cuatro índices siguiendo la regla ESR (E</w:t>
      </w:r>
      <w:r>
        <w:t>quality, Sort, Range):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020"/>
        <w:gridCol w:w="2000"/>
        <w:gridCol w:w="1956"/>
      </w:tblGrid>
      <w:tr w:rsidR="00D421A3"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Índice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Colección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Optimiza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idx_products_category_price_status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Compuesto ESR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products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Catálogo por categoría ordenado por precio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idx_products_active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Parcial (status=ACTIVE)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products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 xml:space="preserve">Reduce el índice ~80 %; excluye ~200 </w:t>
            </w:r>
            <w:r>
              <w:rPr>
                <w:sz w:val="18"/>
              </w:rPr>
              <w:t>productos inactivos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idx_products_text_name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products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Búsqueda full-text por nombre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idx_reviews_product_score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Compuesto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order_reviews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Reseñas de un producto por calificación</w:t>
            </w:r>
          </w:p>
        </w:tc>
      </w:tr>
    </w:tbl>
    <w:p w:rsidR="00D421A3" w:rsidRDefault="00D421A3"/>
    <w:p w:rsidR="003E4D28" w:rsidRDefault="003E4D28"/>
    <w:p w:rsidR="003E4D28" w:rsidRDefault="003E4D28">
      <w:bookmarkStart w:id="0" w:name="_GoBack"/>
      <w:bookmarkEnd w:id="0"/>
    </w:p>
    <w:p w:rsidR="00D421A3" w:rsidRDefault="003E4D28">
      <w:r>
        <w:rPr>
          <w:b/>
        </w:rPr>
        <w:lastRenderedPageBreak/>
        <w:t>Validación con .explain("executionStats"):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1577"/>
        <w:gridCol w:w="1578"/>
        <w:gridCol w:w="1402"/>
        <w:gridCol w:w="1419"/>
      </w:tblGrid>
      <w:tr w:rsidR="00D421A3"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Índice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docsExamined antes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docsExamined después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Tiempo antes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Tiempo después</w:t>
            </w:r>
          </w:p>
        </w:tc>
      </w:tr>
      <w:tr w:rsidR="00D421A3">
        <w:tc>
          <w:tcPr>
            <w:tcW w:w="1728" w:type="dxa"/>
          </w:tcPr>
          <w:p w:rsidR="00D421A3" w:rsidRDefault="003E4D28">
            <w:r>
              <w:rPr>
                <w:sz w:val="18"/>
              </w:rPr>
              <w:t>idx_products_category_price_status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1.000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198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18,4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1,8 ms</w:t>
            </w:r>
          </w:p>
        </w:tc>
      </w:tr>
      <w:tr w:rsidR="00D421A3">
        <w:tc>
          <w:tcPr>
            <w:tcW w:w="1728" w:type="dxa"/>
          </w:tcPr>
          <w:p w:rsidR="00D421A3" w:rsidRDefault="003E4D28">
            <w:r>
              <w:rPr>
                <w:sz w:val="18"/>
              </w:rPr>
              <w:t>idx_products_active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1.000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802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12,7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1,2 ms</w:t>
            </w:r>
          </w:p>
        </w:tc>
      </w:tr>
      <w:tr w:rsidR="00D421A3">
        <w:tc>
          <w:tcPr>
            <w:tcW w:w="1728" w:type="dxa"/>
          </w:tcPr>
          <w:p w:rsidR="00D421A3" w:rsidRDefault="003E4D28">
            <w:r>
              <w:rPr>
                <w:sz w:val="18"/>
              </w:rPr>
              <w:t>idx_reviews_product_score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500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43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8,9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0,7 ms</w:t>
            </w:r>
          </w:p>
        </w:tc>
      </w:tr>
    </w:tbl>
    <w:p w:rsidR="00D421A3" w:rsidRDefault="00D421A3"/>
    <w:p w:rsidR="00D421A3" w:rsidRDefault="003E4D28">
      <w:r>
        <w:t xml:space="preserve">El compuesto ESR logra la mayor mejora: </w:t>
      </w:r>
      <w:r>
        <w:t>docsExamined 1.000 → 198 (−80,2 %), porque el planificador usa categoría + precio para localizar el subconjunto relevante sin recorrer la colección.</w:t>
      </w:r>
    </w:p>
    <w:p w:rsidR="00D421A3" w:rsidRDefault="003E4D28">
      <w:pPr>
        <w:pStyle w:val="Ttulo2"/>
      </w:pPr>
      <w:r>
        <w:rPr>
          <w:color w:val="1F366A"/>
        </w:rPr>
        <w:t>c.3 Aggregation pipeline (7 stages)</w:t>
      </w:r>
    </w:p>
    <w:p w:rsidR="00D421A3" w:rsidRDefault="003E4D28">
      <w:r>
        <w:t>Pipeline de análisis de rendimiento del catálogo: $match (índice parcia</w:t>
      </w:r>
      <w:r>
        <w:t>l) → $lookup (reviews) → $unwind → $group (métricas por categoría) → $addFields (etiqueta de rendimiento) → $sort → $project, con allowDiskUse: true. Código en mongodb/schema/03_aggregation_pipelines.js.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421A3"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executionTimeMillis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docsExamined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Observaci</w:t>
            </w:r>
            <w:r>
              <w:rPr>
                <w:b/>
                <w:color w:val="FFFFFF"/>
                <w:sz w:val="18"/>
              </w:rPr>
              <w:t>ón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Sin $match inicial ni índices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284 ms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1.000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Recorre toda la colección antes del lookup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Con índice parcial pero $match al final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187 ms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1.000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El índice existe pero el planificador no lo aprovecha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Con $match al inicio e índices activos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43 ms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198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−</w:t>
            </w:r>
            <w:r>
              <w:rPr>
                <w:sz w:val="18"/>
              </w:rPr>
              <w:t>84,9 % respecto al escenario sin optimizar</w:t>
            </w:r>
          </w:p>
        </w:tc>
      </w:tr>
    </w:tbl>
    <w:p w:rsidR="00D421A3" w:rsidRDefault="00D421A3"/>
    <w:p w:rsidR="00D421A3" w:rsidRDefault="003E4D28">
      <w:r>
        <w:t>El $match en Stage 1 aprovecha el índice parcial desde el primer paso (1.000 → 802 docs antes del $lookup); el $project al final no bloquea el uso de índices en stages anteriores.</w:t>
      </w:r>
    </w:p>
    <w:p w:rsidR="00D421A3" w:rsidRDefault="003E4D28">
      <w:pPr>
        <w:pStyle w:val="Ttulo2"/>
      </w:pPr>
      <w:r>
        <w:rPr>
          <w:color w:val="1F366A"/>
        </w:rPr>
        <w:t xml:space="preserve">c.4 Diseño teórico de </w:t>
      </w:r>
      <w:r>
        <w:rPr>
          <w:color w:val="1F366A"/>
        </w:rPr>
        <w:t>sharding y replica sets</w:t>
      </w:r>
    </w:p>
    <w:p w:rsidR="00D421A3" w:rsidRDefault="003E4D28">
      <w:r>
        <w:t>Sharding — colección candidata: analytics_events/orders. Shard key recomendada: { customer_id: 1, order_purchase_timestamp: 1 } (range sobre clave compuesta).</w:t>
      </w:r>
    </w:p>
    <w:p w:rsidR="00D421A3" w:rsidRDefault="003E4D28">
      <w:pPr>
        <w:pStyle w:val="Listaconvietas"/>
      </w:pPr>
      <w:r>
        <w:t xml:space="preserve">customer_id aporta alta cardinalidad y dispersa las escrituras (evita el </w:t>
      </w:r>
      <w:r>
        <w:t>hot shard de una clave temporal monotónica).</w:t>
      </w:r>
    </w:p>
    <w:p w:rsidR="00D421A3" w:rsidRDefault="003E4D28">
      <w:pPr>
        <w:pStyle w:val="Listaconvietas"/>
      </w:pPr>
      <w:r>
        <w:t>order_purchase_timestamp conserva la localidad de rango → analíticas por cliente+periodo targeted, no scatter-gather.</w:t>
      </w:r>
    </w:p>
    <w:p w:rsidR="00D421A3" w:rsidRDefault="003E4D28">
      <w:pPr>
        <w:pStyle w:val="Listaconvietas"/>
      </w:pPr>
      <w:r>
        <w:t xml:space="preserve">Hashed vs range: se descarta hashed porque convertiría todo reporte temporal en </w:t>
      </w:r>
      <w:r>
        <w:t>scatter-gather.</w:t>
      </w:r>
    </w:p>
    <w:p w:rsidR="00D421A3" w:rsidRDefault="003E4D28">
      <w:pPr>
        <w:pStyle w:val="Listaconvietas"/>
      </w:pPr>
      <w:r>
        <w:t>Distribución simulada (3 shards por rangos de customer_id): ~33 % / 33 % / 34 %.</w:t>
      </w:r>
    </w:p>
    <w:p w:rsidR="00D421A3" w:rsidRDefault="003E4D28">
      <w:r>
        <w:t xml:space="preserve">Replica sets — topología PSS (Primary + 2 Secondary) multi-AZ por shard. 3 miembros con datos garantizan quórum 2/3 para w:majority y tolerancia a la caída de </w:t>
      </w:r>
      <w:r>
        <w:t>1 nodo (se descarta Arbiter).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421A3"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Write Concern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Read Concern</w:t>
            </w:r>
          </w:p>
        </w:tc>
        <w:tc>
          <w:tcPr>
            <w:tcW w:w="216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Read Preference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 xml:space="preserve">Transaccional </w:t>
            </w:r>
            <w:r>
              <w:rPr>
                <w:sz w:val="18"/>
              </w:rPr>
              <w:lastRenderedPageBreak/>
              <w:t>(orden/pago/reseña)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lastRenderedPageBreak/>
              <w:t>majority, j:true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majority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primary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Lectura analítica (reportes)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local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secondaryPreferred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 xml:space="preserve">Baja criticidad </w:t>
            </w:r>
            <w:r>
              <w:rPr>
                <w:sz w:val="18"/>
              </w:rPr>
              <w:t>(logs/telemetría)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w:1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local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primaryPreferred</w:t>
            </w:r>
          </w:p>
        </w:tc>
      </w:tr>
      <w:tr w:rsidR="00D421A3">
        <w:tc>
          <w:tcPr>
            <w:tcW w:w="2160" w:type="dxa"/>
          </w:tcPr>
          <w:p w:rsidR="00D421A3" w:rsidRDefault="003E4D28">
            <w:r>
              <w:rPr>
                <w:sz w:val="18"/>
              </w:rPr>
              <w:t>Read-your-writes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majority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majority</w:t>
            </w:r>
          </w:p>
        </w:tc>
        <w:tc>
          <w:tcPr>
            <w:tcW w:w="2160" w:type="dxa"/>
          </w:tcPr>
          <w:p w:rsidR="00D421A3" w:rsidRDefault="003E4D28">
            <w:r>
              <w:rPr>
                <w:sz w:val="18"/>
              </w:rPr>
              <w:t>primary / sesión causal</w:t>
            </w:r>
          </w:p>
        </w:tc>
      </w:tr>
    </w:tbl>
    <w:p w:rsidR="00D421A3" w:rsidRDefault="00D421A3"/>
    <w:p w:rsidR="00D421A3" w:rsidRDefault="003E4D28">
      <w:pPr>
        <w:jc w:val="center"/>
      </w:pPr>
      <w:r>
        <w:rPr>
          <w:noProof/>
        </w:rPr>
        <w:drawing>
          <wp:inline distT="0" distB="0" distL="0" distR="0">
            <wp:extent cx="5486400" cy="27121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ReplicaSet_3nodos_multiAZ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Default="003E4D28">
      <w:pPr>
        <w:jc w:val="center"/>
      </w:pPr>
      <w:r>
        <w:rPr>
          <w:i/>
          <w:color w:val="555555"/>
          <w:sz w:val="18"/>
        </w:rPr>
        <w:t>Figura. Replica Set MongoDB de 3 nodos en multi-AZ (Ecommify).</w:t>
      </w:r>
    </w:p>
    <w:p w:rsidR="00D421A3" w:rsidRDefault="003E4D28">
      <w:pPr>
        <w:pStyle w:val="Ttulo1"/>
      </w:pPr>
      <w:r>
        <w:rPr>
          <w:color w:val="1F366A"/>
        </w:rPr>
        <w:t>d. Evidencias cuantitativas de mejoras de rendimiento</w:t>
      </w:r>
    </w:p>
    <w:p w:rsidR="00D421A3" w:rsidRDefault="003E4D28">
      <w:pPr>
        <w:pStyle w:val="Ttulo2"/>
      </w:pPr>
      <w:r>
        <w:rPr>
          <w:color w:val="1F366A"/>
        </w:rPr>
        <w:t>d.1 PostgreSQL — líneas base (</w:t>
      </w:r>
      <w:r>
        <w:rPr>
          <w:color w:val="1F366A"/>
        </w:rPr>
        <w:t>solo índices de PK)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421A3"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Consulta</w:t>
            </w:r>
          </w:p>
        </w:tc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Exec (ms)</w:t>
            </w:r>
          </w:p>
        </w:tc>
        <w:tc>
          <w:tcPr>
            <w:tcW w:w="288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Tablas con Seq Scan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Q1 Ventas por categoría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87,89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order_items, products, categories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Q2 Vendedores por ingresos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10,87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order_items, sellers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Q3 Clientes mayores compras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52,88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orders, order_payments, customers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 xml:space="preserve">Q4 </w:t>
            </w:r>
            <w:r>
              <w:rPr>
                <w:sz w:val="18"/>
              </w:rPr>
              <w:t>Ventas por estado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62,64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order_items, customers, geolocations, products, categories</w:t>
            </w:r>
          </w:p>
        </w:tc>
      </w:tr>
      <w:tr w:rsidR="00D421A3">
        <w:tc>
          <w:tcPr>
            <w:tcW w:w="2880" w:type="dxa"/>
          </w:tcPr>
          <w:p w:rsidR="00D421A3" w:rsidRDefault="003E4D28">
            <w:r>
              <w:rPr>
                <w:sz w:val="18"/>
              </w:rPr>
              <w:t>Q5 Reporte de órdenes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55,79</w:t>
            </w:r>
          </w:p>
        </w:tc>
        <w:tc>
          <w:tcPr>
            <w:tcW w:w="2880" w:type="dxa"/>
          </w:tcPr>
          <w:p w:rsidR="00D421A3" w:rsidRDefault="003E4D28">
            <w:r>
              <w:rPr>
                <w:sz w:val="18"/>
              </w:rPr>
              <w:t>order_items, orders, order_payments, customers</w:t>
            </w:r>
          </w:p>
        </w:tc>
      </w:tr>
    </w:tbl>
    <w:p w:rsidR="00D421A3" w:rsidRDefault="00D421A3"/>
    <w:p w:rsidR="00D421A3" w:rsidRDefault="003E4D28">
      <w:pPr>
        <w:pStyle w:val="Ttulo2"/>
      </w:pPr>
      <w:r>
        <w:rPr>
          <w:color w:val="1F366A"/>
        </w:rPr>
        <w:t>d.2 Impacto de índices (consultas filtradas)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421A3"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Consulta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Después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1728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Mejora</w:t>
            </w:r>
          </w:p>
        </w:tc>
      </w:tr>
      <w:tr w:rsidR="00D421A3">
        <w:tc>
          <w:tcPr>
            <w:tcW w:w="1728" w:type="dxa"/>
          </w:tcPr>
          <w:p w:rsidR="00D421A3" w:rsidRDefault="003E4D28">
            <w:r>
              <w:rPr>
                <w:sz w:val="18"/>
              </w:rPr>
              <w:t xml:space="preserve">F1 </w:t>
            </w:r>
            <w:r>
              <w:rPr>
                <w:sz w:val="18"/>
              </w:rPr>
              <w:t>customer_id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10,15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0,23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Seq → Bitmap Heap Scan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97,7 %</w:t>
            </w:r>
          </w:p>
        </w:tc>
      </w:tr>
      <w:tr w:rsidR="00D421A3">
        <w:tc>
          <w:tcPr>
            <w:tcW w:w="1728" w:type="dxa"/>
          </w:tcPr>
          <w:p w:rsidR="00D421A3" w:rsidRDefault="003E4D28">
            <w:r>
              <w:rPr>
                <w:sz w:val="18"/>
              </w:rPr>
              <w:t>F2 seller_id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1,64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0,24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Seq → Bitmap Heap Scan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85,6 %</w:t>
            </w:r>
          </w:p>
        </w:tc>
      </w:tr>
      <w:tr w:rsidR="00D421A3">
        <w:tc>
          <w:tcPr>
            <w:tcW w:w="1728" w:type="dxa"/>
          </w:tcPr>
          <w:p w:rsidR="00D421A3" w:rsidRDefault="003E4D28">
            <w:r>
              <w:rPr>
                <w:sz w:val="18"/>
              </w:rPr>
              <w:t>F3 status='processing'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9,91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0,28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Seq → Index Only Scan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97,1 %</w:t>
            </w:r>
          </w:p>
        </w:tc>
      </w:tr>
      <w:tr w:rsidR="00D421A3">
        <w:tc>
          <w:tcPr>
            <w:tcW w:w="1728" w:type="dxa"/>
          </w:tcPr>
          <w:p w:rsidR="00D421A3" w:rsidRDefault="003E4D28">
            <w:r>
              <w:rPr>
                <w:sz w:val="18"/>
              </w:rPr>
              <w:t>F4 rango 1 mes (BRIN)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11,12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10,65 ms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Seq → Seq</w:t>
            </w:r>
          </w:p>
        </w:tc>
        <w:tc>
          <w:tcPr>
            <w:tcW w:w="1728" w:type="dxa"/>
          </w:tcPr>
          <w:p w:rsidR="00D421A3" w:rsidRDefault="003E4D28">
            <w:r>
              <w:rPr>
                <w:sz w:val="18"/>
              </w:rPr>
              <w:t>4,3 %</w:t>
            </w:r>
          </w:p>
        </w:tc>
      </w:tr>
    </w:tbl>
    <w:p w:rsidR="00D421A3" w:rsidRDefault="00D421A3"/>
    <w:p w:rsidR="00D421A3" w:rsidRDefault="003E4D28">
      <w:pPr>
        <w:jc w:val="center"/>
      </w:pPr>
      <w:r>
        <w:rPr>
          <w:noProof/>
        </w:rPr>
        <w:drawing>
          <wp:inline distT="0" distB="0" distL="0" distR="0">
            <wp:extent cx="5486400" cy="304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dices_consultas_filtra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Default="003E4D28">
      <w:pPr>
        <w:jc w:val="center"/>
      </w:pPr>
      <w:r>
        <w:rPr>
          <w:i/>
          <w:color w:val="555555"/>
          <w:sz w:val="18"/>
        </w:rPr>
        <w:t>Figura. PostgreSQL — impacto de índices especializados en consultas filtradas.</w:t>
      </w:r>
    </w:p>
    <w:p w:rsidR="00D421A3" w:rsidRDefault="003E4D28">
      <w:pPr>
        <w:pStyle w:val="Ttulo2"/>
      </w:pPr>
      <w:r>
        <w:rPr>
          <w:color w:val="1F366A"/>
        </w:rPr>
        <w:t>d.3 Optimización de queries críticas</w:t>
      </w:r>
    </w:p>
    <w:p w:rsidR="00D421A3" w:rsidRDefault="003E4D28">
      <w:pPr>
        <w:jc w:val="center"/>
      </w:pPr>
      <w:r>
        <w:rPr>
          <w:noProof/>
        </w:rPr>
        <w:drawing>
          <wp:inline distT="0" distB="0" distL="0" distR="0">
            <wp:extent cx="5486400" cy="304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optimizacion_queries_critic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Default="003E4D28">
      <w:pPr>
        <w:jc w:val="center"/>
      </w:pPr>
      <w:r>
        <w:rPr>
          <w:i/>
          <w:color w:val="555555"/>
          <w:sz w:val="18"/>
        </w:rPr>
        <w:t>Figura. PostgreSQL — optimización de queries críticas (reescritura SQL).</w:t>
      </w:r>
    </w:p>
    <w:p w:rsidR="00D421A3" w:rsidRDefault="003E4D28">
      <w:pPr>
        <w:pStyle w:val="Ttulo2"/>
      </w:pPr>
      <w:r>
        <w:rPr>
          <w:color w:val="1F366A"/>
        </w:rPr>
        <w:lastRenderedPageBreak/>
        <w:t>d.4 Particionamiento (partition pruning)</w:t>
      </w:r>
    </w:p>
    <w:p w:rsidR="00D421A3" w:rsidRDefault="003E4D28">
      <w:pPr>
        <w:jc w:val="center"/>
      </w:pPr>
      <w:r>
        <w:rPr>
          <w:noProof/>
        </w:rPr>
        <w:drawing>
          <wp:inline distT="0" distB="0" distL="0" distR="0">
            <wp:extent cx="5486400" cy="304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articionamiento_pru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Default="003E4D28">
      <w:pPr>
        <w:jc w:val="center"/>
      </w:pPr>
      <w:r>
        <w:rPr>
          <w:i/>
          <w:color w:val="555555"/>
          <w:sz w:val="18"/>
        </w:rPr>
        <w:t xml:space="preserve">Figura. </w:t>
      </w:r>
      <w:r>
        <w:rPr>
          <w:i/>
          <w:color w:val="555555"/>
          <w:sz w:val="18"/>
        </w:rPr>
        <w:t>PostgreSQL — particionamiento por RANGE (partition pruning, 79,6 %).</w:t>
      </w:r>
    </w:p>
    <w:p w:rsidR="00D421A3" w:rsidRDefault="003E4D28">
      <w:pPr>
        <w:pStyle w:val="Ttulo2"/>
      </w:pPr>
      <w:r>
        <w:rPr>
          <w:color w:val="1F366A"/>
        </w:rPr>
        <w:t>d.5 MongoDB — índices y aggregation pipeline</w:t>
      </w:r>
    </w:p>
    <w:p w:rsidR="00D421A3" w:rsidRDefault="003E4D28">
      <w:pPr>
        <w:jc w:val="center"/>
      </w:pPr>
      <w:r>
        <w:rPr>
          <w:noProof/>
        </w:rPr>
        <w:drawing>
          <wp:inline distT="0" distB="0" distL="0" distR="0">
            <wp:extent cx="5486400" cy="304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ongodb_ind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Default="003E4D28">
      <w:pPr>
        <w:jc w:val="center"/>
      </w:pPr>
      <w:r>
        <w:rPr>
          <w:i/>
          <w:color w:val="555555"/>
          <w:sz w:val="18"/>
        </w:rPr>
        <w:t>Figura. MongoDB — impacto de índices (executionTimeMillis, .explain).</w:t>
      </w:r>
    </w:p>
    <w:p w:rsidR="00D421A3" w:rsidRDefault="003E4D28">
      <w:pPr>
        <w:jc w:val="center"/>
      </w:pPr>
      <w:r>
        <w:rPr>
          <w:noProof/>
        </w:rPr>
        <w:lastRenderedPageBreak/>
        <w:drawing>
          <wp:inline distT="0" distB="0" distL="0" distR="0">
            <wp:extent cx="5486400" cy="304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ongodb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Default="003E4D28">
      <w:pPr>
        <w:jc w:val="center"/>
      </w:pPr>
      <w:r>
        <w:rPr>
          <w:i/>
          <w:color w:val="555555"/>
          <w:sz w:val="18"/>
        </w:rPr>
        <w:t xml:space="preserve">Figura. MongoDB — aggregation pipeline analítico </w:t>
      </w:r>
      <w:r>
        <w:rPr>
          <w:i/>
          <w:color w:val="555555"/>
          <w:sz w:val="18"/>
        </w:rPr>
        <w:t>optimizado (84,9 %).</w:t>
      </w:r>
    </w:p>
    <w:p w:rsidR="00D421A3" w:rsidRDefault="003E4D28">
      <w:pPr>
        <w:pStyle w:val="Ttulo2"/>
      </w:pPr>
      <w:r>
        <w:rPr>
          <w:color w:val="1F366A"/>
        </w:rPr>
        <w:t>d.6 Interpretación</w:t>
      </w:r>
    </w:p>
    <w:p w:rsidR="00D421A3" w:rsidRDefault="003E4D28">
      <w:pPr>
        <w:pStyle w:val="Listaconvietas"/>
      </w:pPr>
      <w:r>
        <w:t>Las mayores mejoras provienen de decisiones de diseño (índice parcial, pre-agregación, partition pruning, regla ESR), no de fuerza bruta.</w:t>
      </w:r>
    </w:p>
    <w:p w:rsidR="00D421A3" w:rsidRDefault="003E4D28">
      <w:pPr>
        <w:pStyle w:val="Listaconvietas"/>
      </w:pPr>
      <w:r>
        <w:t>El BRIN mejora poco a 100k filas cacheadas pero se justifica por su costo ínfi</w:t>
      </w:r>
      <w:r>
        <w:t>mo (24 kB) y escalabilidad.</w:t>
      </w:r>
    </w:p>
    <w:p w:rsidR="00D421A3" w:rsidRDefault="003E4D28">
      <w:pPr>
        <w:pStyle w:val="Listaconvietas"/>
      </w:pPr>
      <w:r>
        <w:t>En MongoDB, ubicar $match al inicio y $project al final permite aprovechar el índice parcial desde el primer stage.</w:t>
      </w:r>
    </w:p>
    <w:p w:rsidR="00D421A3" w:rsidRDefault="003E4D28">
      <w:pPr>
        <w:pStyle w:val="Ttulo1"/>
      </w:pPr>
      <w:r>
        <w:rPr>
          <w:color w:val="1F366A"/>
        </w:rPr>
        <w:t>e. Sincronización entre sistemas y estrategia de consistencia</w:t>
      </w:r>
    </w:p>
    <w:p w:rsidR="00D421A3" w:rsidRDefault="003E4D28">
      <w:r>
        <w:t>PostgreSQL es la fuente de verdad transaccional (C</w:t>
      </w:r>
      <w:r>
        <w:t>P); MongoDB es un read model analítico (AP) derivado y enriquecido. Flujo unidireccional para datos maestros mediante un job ETL programado que hace upsert por _id en MongoDB (idempotente). Las reseñas y eventos nacen en MongoDB.</w:t>
      </w:r>
    </w:p>
    <w:p w:rsidR="00D421A3" w:rsidRDefault="003E4D28">
      <w:r>
        <w:rPr>
          <w:b/>
        </w:rPr>
        <w:t>Consistencia eventual — do</w:t>
      </w:r>
      <w:r>
        <w:rPr>
          <w:b/>
        </w:rPr>
        <w:t>ble ventana de inconsistencia:</w:t>
      </w:r>
    </w:p>
    <w:p w:rsidR="00D421A3" w:rsidRDefault="003E4D28">
      <w:r>
        <w:t>Lag percibido = Ventana 1 (latencia del job ETL: segundos–minutos) + Ventana 2 (replication lag: ~ms–2 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421A3">
        <w:tc>
          <w:tcPr>
            <w:tcW w:w="432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w="432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Estrategia de mitigación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Operación crítica (ver último estado)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 xml:space="preserve">Leer de PostgreSQL o </w:t>
            </w:r>
            <w:r>
              <w:rPr>
                <w:sz w:val="18"/>
              </w:rPr>
              <w:t>readPreference:primary + readConcern:majority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Read-your-writes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>Sesión con causal consistency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Evitar leer datos que podrían perderse en rollback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>readConcern:majority + writeConcern:majority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Lectura tolerante (catálogo, reportes)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>secondaryPreferred/neares</w:t>
            </w:r>
            <w:r>
              <w:rPr>
                <w:sz w:val="18"/>
              </w:rPr>
              <w:t>t, readConcern:local</w:t>
            </w:r>
          </w:p>
        </w:tc>
      </w:tr>
    </w:tbl>
    <w:p w:rsidR="00D421A3" w:rsidRDefault="00D421A3"/>
    <w:p w:rsidR="00D421A3" w:rsidRDefault="003E4D28">
      <w:pPr>
        <w:jc w:val="center"/>
      </w:pPr>
      <w:r>
        <w:rPr>
          <w:noProof/>
        </w:rPr>
        <w:drawing>
          <wp:inline distT="0" distB="0" distL="0" distR="0">
            <wp:extent cx="5486400" cy="18861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onsistencia_Eventual_ventana_lag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A3" w:rsidRDefault="003E4D28">
      <w:pPr>
        <w:jc w:val="center"/>
      </w:pPr>
      <w:r>
        <w:rPr>
          <w:i/>
          <w:color w:val="555555"/>
          <w:sz w:val="18"/>
        </w:rPr>
        <w:t>Figura. Consistencia eventual en Ecommify: doble ventana de inconsistencia.</w:t>
      </w:r>
    </w:p>
    <w:p w:rsidR="00D421A3" w:rsidRDefault="003E4D28">
      <w:pPr>
        <w:pStyle w:val="Ttulo1"/>
      </w:pPr>
      <w:r>
        <w:rPr>
          <w:color w:val="1F366A"/>
        </w:rPr>
        <w:t>f. Lecciones aprendidas</w:t>
      </w:r>
    </w:p>
    <w:p w:rsidR="00D421A3" w:rsidRDefault="003E4D28">
      <w:r>
        <w:rPr>
          <w:b/>
        </w:rPr>
        <w:t>Obstáculos y soluciones:</w:t>
      </w:r>
    </w:p>
    <w:p w:rsidR="00D421A3" w:rsidRDefault="003E4D28">
      <w:pPr>
        <w:pStyle w:val="Listaconvietas"/>
      </w:pPr>
      <w:r>
        <w:t>Datos reales sin atributos semiestructurados → se justificó técnicamente no forzar JSONB/GIN en PostgreSQL</w:t>
      </w:r>
      <w:r>
        <w:t xml:space="preserve"> y concentrar la flexibilidad documental en MongoDB (patrón Attribute/Embedding).</w:t>
      </w:r>
    </w:p>
    <w:p w:rsidR="00D421A3" w:rsidRDefault="003E4D28">
      <w:pPr>
        <w:pStyle w:val="Listaconvietas"/>
      </w:pPr>
      <w:r>
        <w:t>Cifras desactualizadas (5.000 vs. 100.000 órdenes) → reejecución de mediciones; particionamiento justificado por volumen real.</w:t>
      </w:r>
    </w:p>
    <w:p w:rsidR="00D421A3" w:rsidRDefault="003E4D28">
      <w:pPr>
        <w:pStyle w:val="Listaconvietas"/>
      </w:pPr>
      <w:r>
        <w:t>Seq Scan óptimo en agregaciones de tabla comple</w:t>
      </w:r>
      <w:r>
        <w:t>ta → impacto de índices demostrado con consultas filtradas (85–98 %).</w:t>
      </w:r>
    </w:p>
    <w:p w:rsidR="00D421A3" w:rsidRDefault="003E4D28">
      <w:pPr>
        <w:pStyle w:val="Listaconvietas"/>
      </w:pPr>
      <w:r>
        <w:t>Riesgo de fan-out en Q5 (ítems × pagos) → corregido con CTEs por lado, mejorando rendimiento y correctitud.</w:t>
      </w:r>
    </w:p>
    <w:p w:rsidR="00D421A3" w:rsidRDefault="003E4D28">
      <w:pPr>
        <w:pStyle w:val="Listaconvietas"/>
      </w:pPr>
      <w:r>
        <w:t>Datos derivados para MongoDB → derivación documentada (no presentar datos inve</w:t>
      </w:r>
      <w:r>
        <w:t>ntados como reales).</w:t>
      </w:r>
    </w:p>
    <w:p w:rsidR="00D421A3" w:rsidRDefault="003E4D28">
      <w:r>
        <w:rPr>
          <w:b/>
        </w:rPr>
        <w:t>Limitaciones del free tier y workarounds: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421A3">
        <w:tc>
          <w:tcPr>
            <w:tcW w:w="432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Limitación</w:t>
            </w:r>
          </w:p>
        </w:tc>
        <w:tc>
          <w:tcPr>
            <w:tcW w:w="4320" w:type="dxa"/>
            <w:shd w:val="clear" w:color="auto" w:fill="1F366A"/>
          </w:tcPr>
          <w:p w:rsidR="00D421A3" w:rsidRDefault="003E4D28">
            <w:r>
              <w:rPr>
                <w:b/>
                <w:color w:val="FFFFFF"/>
                <w:sz w:val="18"/>
              </w:rPr>
              <w:t>Workaround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Atlas M0 sin sharding real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>Sharding documentado de forma teórica (shard key, hashed vs range, simulación)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M0 sin control fino del replica set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 xml:space="preserve">Topología PSS </w:t>
            </w:r>
            <w:r>
              <w:rPr>
                <w:sz w:val="18"/>
              </w:rPr>
              <w:t>multi-AZ como diseño objetivo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Supabase: DDL pesado / pg_cron limitado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>Session Pooler (5432) para DDL; mantenimiento de particiones documentado</w:t>
            </w:r>
          </w:p>
        </w:tc>
      </w:tr>
      <w:tr w:rsidR="00D421A3">
        <w:tc>
          <w:tcPr>
            <w:tcW w:w="4320" w:type="dxa"/>
          </w:tcPr>
          <w:p w:rsidR="00D421A3" w:rsidRDefault="003E4D28">
            <w:r>
              <w:rPr>
                <w:sz w:val="18"/>
              </w:rPr>
              <w:t>Pipelines que exceden memoria</w:t>
            </w:r>
          </w:p>
        </w:tc>
        <w:tc>
          <w:tcPr>
            <w:tcW w:w="4320" w:type="dxa"/>
          </w:tcPr>
          <w:p w:rsidR="00D421A3" w:rsidRDefault="003E4D28">
            <w:r>
              <w:rPr>
                <w:sz w:val="18"/>
              </w:rPr>
              <w:t>allowDiskUse: true</w:t>
            </w:r>
          </w:p>
        </w:tc>
      </w:tr>
    </w:tbl>
    <w:p w:rsidR="00D421A3" w:rsidRDefault="00D421A3"/>
    <w:p w:rsidR="00D421A3" w:rsidRDefault="003E4D28">
      <w:r>
        <w:t xml:space="preserve">Conclusión: la arquitectura políglota demostró su </w:t>
      </w:r>
      <w:r>
        <w:t>valor: PostgreSQL para integridad transaccional y MongoDB para analítica/catálogo flexible. Trabajar con datos reales obligó a decisiones honestas de modelado, más valiosas que un esquema ideal con datos ficticios.</w:t>
      </w:r>
    </w:p>
    <w:p w:rsidR="00D421A3" w:rsidRDefault="003E4D28">
      <w:pPr>
        <w:pStyle w:val="Ttulo1"/>
      </w:pPr>
      <w:r>
        <w:rPr>
          <w:color w:val="1F366A"/>
        </w:rPr>
        <w:lastRenderedPageBreak/>
        <w:t>2. Repositorio GitHub</w:t>
      </w:r>
    </w:p>
    <w:p w:rsidR="00D421A3" w:rsidRDefault="003E4D28">
      <w:r>
        <w:t>Estructura organiza</w:t>
      </w:r>
      <w:r>
        <w:t>da (postgresql/, mongodb/, notebooks/, docs/, evidencias/), README con instrucciones de setup para Supabase y MongoDB Atlas, scripts idempotentes y reproducibles. El módulo MongoDB incluye los validadores JSON Schema, los índices ESR y el aggregation pipel</w:t>
      </w:r>
      <w:r>
        <w:t>ine en mongodb/schema/.</w:t>
      </w:r>
    </w:p>
    <w:p w:rsidR="00D421A3" w:rsidRDefault="003E4D28">
      <w:pPr>
        <w:pStyle w:val="Ttulo1"/>
      </w:pPr>
      <w:r>
        <w:rPr>
          <w:color w:val="1F366A"/>
        </w:rPr>
        <w:t>3. Video de demostración</w:t>
      </w:r>
    </w:p>
    <w:p w:rsidR="00D421A3" w:rsidRDefault="003E4D28">
      <w:r>
        <w:t xml:space="preserve">El video (5–10 min) recorre la conexión a Supabase y Atlas, la navegación por tablas/colecciones, la ejecución de queries optimizadas mostrando las mejoras y la explicación de las decisiones técnicas </w:t>
      </w:r>
      <w:r>
        <w:t>clave (índice parcial 'processing', partition pruning, regla ESR en MongoDB).</w:t>
      </w:r>
    </w:p>
    <w:p w:rsidR="00D421A3" w:rsidRDefault="003E4D28">
      <w:r>
        <w:rPr>
          <w:b/>
        </w:rPr>
        <w:t>Enlace al video:</w:t>
      </w:r>
    </w:p>
    <w:p w:rsidR="00D421A3" w:rsidRDefault="003E4D28">
      <w:r>
        <w:rPr>
          <w:color w:val="1F366A"/>
          <w:sz w:val="20"/>
          <w:u w:val="single"/>
        </w:rPr>
        <w:t>https://unisabanaedu-my.sharepoint.com/:b:/g/personal/camilomorro_unisabana_edu_co/IQBuKV8Mi-fMQ5uJjT3bZboMATD5nDk7ngv-_4QOJ6WY4-U?e=7bvxnd</w:t>
      </w:r>
    </w:p>
    <w:sectPr w:rsidR="00D421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D28"/>
    <w:rsid w:val="00AA1D8D"/>
    <w:rsid w:val="00B47730"/>
    <w:rsid w:val="00CB0664"/>
    <w:rsid w:val="00D421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B4658A"/>
  <w14:defaultImageDpi w14:val="300"/>
  <w15:docId w15:val="{465913D4-7C1D-DD41-A0A2-685C7D58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B13000-6089-6D49-B4D3-269C780DA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2315</Words>
  <Characters>12734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Alberto Zambrano Braydi</cp:lastModifiedBy>
  <cp:revision>2</cp:revision>
  <dcterms:created xsi:type="dcterms:W3CDTF">2013-12-23T23:15:00Z</dcterms:created>
  <dcterms:modified xsi:type="dcterms:W3CDTF">2026-06-17T03:22:00Z</dcterms:modified>
  <cp:category/>
</cp:coreProperties>
</file>