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71845" w14:textId="77777777" w:rsidR="00671E7B" w:rsidRPr="00592E85" w:rsidRDefault="00000000">
      <w:pPr>
        <w:pStyle w:val="Heading1"/>
        <w:rPr>
          <w:rFonts w:ascii="宋体" w:eastAsia="宋体" w:hAnsi="宋体"/>
          <w:lang w:eastAsia="zh-CN"/>
        </w:rPr>
      </w:pPr>
      <w:r w:rsidRPr="00592E85">
        <w:rPr>
          <w:rFonts w:ascii="宋体" w:eastAsia="宋体" w:hAnsi="宋体"/>
          <w:color w:val="000000"/>
          <w:lang w:eastAsia="zh-CN"/>
        </w:rPr>
        <w:t>「基金市场周报」上周A</w:t>
      </w:r>
      <w:proofErr w:type="gramStart"/>
      <w:r w:rsidRPr="00592E85">
        <w:rPr>
          <w:rFonts w:ascii="宋体" w:eastAsia="宋体" w:hAnsi="宋体"/>
          <w:color w:val="000000"/>
          <w:lang w:eastAsia="zh-CN"/>
        </w:rPr>
        <w:t>股市场三大</w:t>
      </w:r>
      <w:proofErr w:type="gramEnd"/>
      <w:r w:rsidRPr="00592E85">
        <w:rPr>
          <w:rFonts w:ascii="宋体" w:eastAsia="宋体" w:hAnsi="宋体"/>
          <w:color w:val="000000"/>
          <w:lang w:eastAsia="zh-CN"/>
        </w:rPr>
        <w:t>指数普跌</w:t>
      </w:r>
    </w:p>
    <w:p w14:paraId="7CAADD70" w14:textId="77777777" w:rsidR="00671E7B" w:rsidRPr="00592E85" w:rsidRDefault="00000000">
      <w:pPr>
        <w:pStyle w:val="Heading1"/>
        <w:rPr>
          <w:rFonts w:ascii="宋体" w:eastAsia="宋体" w:hAnsi="宋体"/>
          <w:lang w:eastAsia="zh-CN"/>
        </w:rPr>
      </w:pPr>
      <w:r w:rsidRPr="00592E85">
        <w:rPr>
          <w:rFonts w:ascii="宋体" w:eastAsia="宋体" w:hAnsi="宋体"/>
          <w:color w:val="FF0000"/>
          <w:lang w:eastAsia="zh-CN"/>
        </w:rPr>
        <w:t>主要结论</w:t>
      </w:r>
    </w:p>
    <w:p w14:paraId="41FE11BD" w14:textId="77777777" w:rsidR="00671E7B" w:rsidRPr="00592E85" w:rsidRDefault="00000000">
      <w:pPr>
        <w:pStyle w:val="Heading1"/>
        <w:rPr>
          <w:rFonts w:ascii="宋体" w:eastAsia="宋体" w:hAnsi="宋体"/>
          <w:lang w:eastAsia="zh-CN"/>
        </w:rPr>
      </w:pPr>
      <w:r w:rsidRPr="00592E85">
        <w:rPr>
          <w:rFonts w:ascii="宋体" w:eastAsia="宋体" w:hAnsi="宋体"/>
          <w:color w:val="000000"/>
          <w:lang w:eastAsia="zh-CN"/>
        </w:rPr>
        <w:t>上周A</w:t>
      </w:r>
      <w:proofErr w:type="gramStart"/>
      <w:r w:rsidRPr="00592E85">
        <w:rPr>
          <w:rFonts w:ascii="宋体" w:eastAsia="宋体" w:hAnsi="宋体"/>
          <w:color w:val="000000"/>
          <w:lang w:eastAsia="zh-CN"/>
        </w:rPr>
        <w:t>股市场三大</w:t>
      </w:r>
      <w:proofErr w:type="gramEnd"/>
      <w:r w:rsidRPr="00592E85">
        <w:rPr>
          <w:rFonts w:ascii="宋体" w:eastAsia="宋体" w:hAnsi="宋体"/>
          <w:color w:val="000000"/>
          <w:lang w:eastAsia="zh-CN"/>
        </w:rPr>
        <w:t>指数普跌，申万</w:t>
      </w:r>
      <w:proofErr w:type="gramStart"/>
      <w:r w:rsidRPr="00592E85">
        <w:rPr>
          <w:rFonts w:ascii="宋体" w:eastAsia="宋体" w:hAnsi="宋体"/>
          <w:color w:val="000000"/>
          <w:lang w:eastAsia="zh-CN"/>
        </w:rPr>
        <w:t>31个</w:t>
      </w:r>
      <w:proofErr w:type="gramEnd"/>
      <w:r w:rsidRPr="00592E85">
        <w:rPr>
          <w:rFonts w:ascii="宋体" w:eastAsia="宋体" w:hAnsi="宋体"/>
          <w:color w:val="000000"/>
          <w:lang w:eastAsia="zh-CN"/>
        </w:rPr>
        <w:t>行业涨少跌多</w:t>
      </w:r>
    </w:p>
    <w:p w14:paraId="4AFB69D5" w14:textId="77777777" w:rsidR="00671E7B" w:rsidRPr="00592E85" w:rsidRDefault="00000000">
      <w:pPr>
        <w:rPr>
          <w:rFonts w:eastAsia="宋体"/>
          <w:lang w:eastAsia="zh-CN"/>
        </w:rPr>
      </w:pPr>
      <w:r w:rsidRPr="00592E85">
        <w:rPr>
          <w:rFonts w:eastAsia="宋体"/>
          <w:lang w:eastAsia="zh-CN"/>
        </w:rPr>
        <w:t>上周A</w:t>
      </w:r>
      <w:proofErr w:type="gramStart"/>
      <w:r w:rsidRPr="00592E85">
        <w:rPr>
          <w:rFonts w:eastAsia="宋体"/>
          <w:lang w:eastAsia="zh-CN"/>
        </w:rPr>
        <w:t>股市场三大</w:t>
      </w:r>
      <w:proofErr w:type="gramEnd"/>
      <w:r w:rsidRPr="00592E85">
        <w:rPr>
          <w:rFonts w:eastAsia="宋体"/>
          <w:lang w:eastAsia="zh-CN"/>
        </w:rPr>
        <w:t>指数普跌，上证指数收于3189.248。具体来看，上证指数、沪深300和创业板指周涨跌幅分别为-3.01%、-3.39%、-3.37%。市场风格方面，成长风格表现优于价值风格，成长指数下跌-3.11%，价值指数下跌-3.28%；大盘风格表现优于小盘风格，大盘指数下跌-3.02%，小盘指数下跌-3.53%。行业方面，申万</w:t>
      </w:r>
      <w:proofErr w:type="gramStart"/>
      <w:r w:rsidRPr="00592E85">
        <w:rPr>
          <w:rFonts w:eastAsia="宋体"/>
          <w:lang w:eastAsia="zh-CN"/>
        </w:rPr>
        <w:t>31个</w:t>
      </w:r>
      <w:proofErr w:type="gramEnd"/>
      <w:r w:rsidRPr="00592E85">
        <w:rPr>
          <w:rFonts w:eastAsia="宋体"/>
          <w:lang w:eastAsia="zh-CN"/>
        </w:rPr>
        <w:t>行业中，石油石化(-0.56%)、煤炭(-0.73%)、交通运输(-1.37%)、医药生物(-1.48%)、基础化工(-1.95%)表现相对靠前；机械设备(-4.48%)、房地产(-4.59%)、家用电器(-4.79%)、建筑材料(-4.87%)、通信(-6.26%)表现相对落后。</w:t>
      </w:r>
    </w:p>
    <w:p w14:paraId="2A17F8FB" w14:textId="77777777" w:rsidR="00671E7B" w:rsidRDefault="00671E7B">
      <w:pPr>
        <w:rPr>
          <w:lang w:eastAsia="zh-CN"/>
        </w:rPr>
      </w:pPr>
    </w:p>
    <w:p w14:paraId="74B77E89" w14:textId="77777777" w:rsidR="00671E7B" w:rsidRDefault="00671E7B">
      <w:pPr>
        <w:rPr>
          <w:lang w:eastAsia="zh-CN"/>
        </w:rPr>
      </w:pPr>
    </w:p>
    <w:p w14:paraId="3E7E474E" w14:textId="77777777" w:rsidR="00671E7B" w:rsidRPr="00592E85" w:rsidRDefault="00000000">
      <w:pPr>
        <w:pStyle w:val="Heading1"/>
        <w:rPr>
          <w:rFonts w:ascii="宋体" w:eastAsia="宋体" w:hAnsi="宋体"/>
          <w:lang w:eastAsia="zh-CN"/>
        </w:rPr>
      </w:pPr>
      <w:r w:rsidRPr="00592E85">
        <w:rPr>
          <w:rFonts w:ascii="宋体" w:eastAsia="宋体" w:hAnsi="宋体"/>
          <w:color w:val="000000"/>
          <w:lang w:eastAsia="zh-CN"/>
        </w:rPr>
        <w:t>本周拟新发行基金一共26只,新</w:t>
      </w:r>
      <w:proofErr w:type="gramStart"/>
      <w:r w:rsidRPr="00592E85">
        <w:rPr>
          <w:rFonts w:ascii="宋体" w:eastAsia="宋体" w:hAnsi="宋体"/>
          <w:color w:val="000000"/>
          <w:lang w:eastAsia="zh-CN"/>
        </w:rPr>
        <w:t>基发行</w:t>
      </w:r>
      <w:proofErr w:type="gramEnd"/>
      <w:r w:rsidRPr="00592E85">
        <w:rPr>
          <w:rFonts w:ascii="宋体" w:eastAsia="宋体" w:hAnsi="宋体"/>
          <w:color w:val="000000"/>
          <w:lang w:eastAsia="zh-CN"/>
        </w:rPr>
        <w:t>热度较上周有所上升</w:t>
      </w:r>
    </w:p>
    <w:p w14:paraId="0D8246CB" w14:textId="77777777" w:rsidR="00671E7B" w:rsidRPr="00592E85" w:rsidRDefault="00000000">
      <w:pPr>
        <w:rPr>
          <w:rFonts w:eastAsia="宋体"/>
          <w:lang w:eastAsia="zh-CN"/>
        </w:rPr>
      </w:pPr>
      <w:r w:rsidRPr="00592E85">
        <w:rPr>
          <w:rFonts w:eastAsia="宋体"/>
          <w:lang w:eastAsia="zh-CN"/>
        </w:rPr>
        <w:t>本周全市场拟新发行基金一共26只（同一基金不同份额只展示一只），发行数量较上周（共23只）有所上升。具体来看，</w:t>
      </w:r>
      <w:proofErr w:type="gramStart"/>
      <w:r w:rsidRPr="00592E85">
        <w:rPr>
          <w:rFonts w:eastAsia="宋体"/>
          <w:lang w:eastAsia="zh-CN"/>
        </w:rPr>
        <w:t>偏股型</w:t>
      </w:r>
      <w:proofErr w:type="gramEnd"/>
      <w:r w:rsidRPr="00592E85">
        <w:rPr>
          <w:rFonts w:eastAsia="宋体"/>
          <w:lang w:eastAsia="zh-CN"/>
        </w:rPr>
        <w:t>基金8只、</w:t>
      </w:r>
      <w:proofErr w:type="gramStart"/>
      <w:r w:rsidRPr="00592E85">
        <w:rPr>
          <w:rFonts w:eastAsia="宋体"/>
          <w:lang w:eastAsia="zh-CN"/>
        </w:rPr>
        <w:t>偏债型</w:t>
      </w:r>
      <w:proofErr w:type="gramEnd"/>
      <w:r w:rsidRPr="00592E85">
        <w:rPr>
          <w:rFonts w:eastAsia="宋体"/>
          <w:lang w:eastAsia="zh-CN"/>
        </w:rPr>
        <w:t>基金6只、指数型基金9只、QDII基金1只、FOF基金2只。</w:t>
      </w:r>
    </w:p>
    <w:p w14:paraId="59E289D9" w14:textId="77777777" w:rsidR="00671E7B" w:rsidRDefault="00671E7B">
      <w:pPr>
        <w:rPr>
          <w:lang w:eastAsia="zh-CN"/>
        </w:rPr>
      </w:pPr>
    </w:p>
    <w:p w14:paraId="62CF3B32" w14:textId="77777777" w:rsidR="00671E7B" w:rsidRDefault="00671E7B">
      <w:pPr>
        <w:rPr>
          <w:lang w:eastAsia="zh-CN"/>
        </w:rPr>
      </w:pPr>
    </w:p>
    <w:p w14:paraId="431EE68C" w14:textId="77777777" w:rsidR="00671E7B" w:rsidRPr="00592E85" w:rsidRDefault="00000000">
      <w:pPr>
        <w:pStyle w:val="Heading1"/>
        <w:rPr>
          <w:rFonts w:ascii="宋体" w:eastAsia="宋体" w:hAnsi="宋体"/>
          <w:lang w:eastAsia="zh-CN"/>
        </w:rPr>
      </w:pPr>
      <w:r w:rsidRPr="00592E85">
        <w:rPr>
          <w:rFonts w:ascii="宋体" w:eastAsia="宋体" w:hAnsi="宋体"/>
          <w:color w:val="FF0000"/>
          <w:lang w:eastAsia="zh-CN"/>
        </w:rPr>
        <w:t>基金市场回顾</w:t>
      </w:r>
    </w:p>
    <w:p w14:paraId="137F6C98" w14:textId="77777777" w:rsidR="00671E7B" w:rsidRPr="00592E85" w:rsidRDefault="00000000">
      <w:pPr>
        <w:rPr>
          <w:rFonts w:eastAsia="宋体"/>
          <w:lang w:eastAsia="zh-CN"/>
        </w:rPr>
      </w:pPr>
      <w:r w:rsidRPr="00592E85">
        <w:rPr>
          <w:rFonts w:eastAsia="宋体"/>
          <w:b/>
          <w:lang w:eastAsia="zh-CN"/>
        </w:rPr>
        <w:t>全市场基金回顾:</w:t>
      </w:r>
      <w:r w:rsidRPr="00592E85">
        <w:rPr>
          <w:rFonts w:eastAsia="宋体"/>
          <w:lang w:eastAsia="zh-CN"/>
        </w:rPr>
        <w:t>上周QDII基金、</w:t>
      </w:r>
      <w:proofErr w:type="gramStart"/>
      <w:r w:rsidRPr="00592E85">
        <w:rPr>
          <w:rFonts w:eastAsia="宋体"/>
          <w:lang w:eastAsia="zh-CN"/>
        </w:rPr>
        <w:t>偏股型</w:t>
      </w:r>
      <w:proofErr w:type="gramEnd"/>
      <w:r w:rsidRPr="00592E85">
        <w:rPr>
          <w:rFonts w:eastAsia="宋体"/>
          <w:lang w:eastAsia="zh-CN"/>
        </w:rPr>
        <w:t>基金、指数型基金和</w:t>
      </w:r>
      <w:proofErr w:type="gramStart"/>
      <w:r w:rsidRPr="00592E85">
        <w:rPr>
          <w:rFonts w:eastAsia="宋体"/>
          <w:lang w:eastAsia="zh-CN"/>
        </w:rPr>
        <w:t>偏债型</w:t>
      </w:r>
      <w:proofErr w:type="gramEnd"/>
      <w:r w:rsidRPr="00592E85">
        <w:rPr>
          <w:rFonts w:eastAsia="宋体"/>
          <w:lang w:eastAsia="zh-CN"/>
        </w:rPr>
        <w:t>基金平均收益率分别为-1.92%、-2.88%、-2.69%、-0.20%。上周除了QDII基金，</w:t>
      </w:r>
      <w:proofErr w:type="gramStart"/>
      <w:r w:rsidRPr="00592E85">
        <w:rPr>
          <w:rFonts w:eastAsia="宋体"/>
          <w:lang w:eastAsia="zh-CN"/>
        </w:rPr>
        <w:t>偏股型</w:t>
      </w:r>
      <w:proofErr w:type="gramEnd"/>
      <w:r w:rsidRPr="00592E85">
        <w:rPr>
          <w:rFonts w:eastAsia="宋体"/>
          <w:lang w:eastAsia="zh-CN"/>
        </w:rPr>
        <w:t>基金，指数型基金，正收益占比低于50%，赚钱效应较弱。</w:t>
      </w:r>
      <w:proofErr w:type="gramStart"/>
      <w:r w:rsidRPr="00592E85">
        <w:rPr>
          <w:rFonts w:eastAsia="宋体"/>
          <w:lang w:eastAsia="zh-CN"/>
        </w:rPr>
        <w:t>偏债型</w:t>
      </w:r>
      <w:proofErr w:type="gramEnd"/>
      <w:r w:rsidRPr="00592E85">
        <w:rPr>
          <w:rFonts w:eastAsia="宋体"/>
          <w:lang w:eastAsia="zh-CN"/>
        </w:rPr>
        <w:t>基金正收益占比高于50%，赚钱效应较强。2023年以来，QDII基金收益率为6.28%，</w:t>
      </w:r>
      <w:proofErr w:type="gramStart"/>
      <w:r w:rsidRPr="00592E85">
        <w:rPr>
          <w:rFonts w:eastAsia="宋体"/>
          <w:lang w:eastAsia="zh-CN"/>
        </w:rPr>
        <w:t>偏股型</w:t>
      </w:r>
      <w:proofErr w:type="gramEnd"/>
      <w:r w:rsidRPr="00592E85">
        <w:rPr>
          <w:rFonts w:eastAsia="宋体"/>
          <w:lang w:eastAsia="zh-CN"/>
        </w:rPr>
        <w:t>基金收益率为-4.70%，指数型基金收益率为0.86%，</w:t>
      </w:r>
      <w:proofErr w:type="gramStart"/>
      <w:r w:rsidRPr="00592E85">
        <w:rPr>
          <w:rFonts w:eastAsia="宋体"/>
          <w:lang w:eastAsia="zh-CN"/>
        </w:rPr>
        <w:t>偏债型</w:t>
      </w:r>
      <w:proofErr w:type="gramEnd"/>
      <w:r w:rsidRPr="00592E85">
        <w:rPr>
          <w:rFonts w:eastAsia="宋体"/>
          <w:lang w:eastAsia="zh-CN"/>
        </w:rPr>
        <w:t>基金收益率为2.30%。</w:t>
      </w:r>
    </w:p>
    <w:p w14:paraId="1A75ADA1" w14:textId="77777777" w:rsidR="00671E7B" w:rsidRDefault="00000000">
      <w:r>
        <w:rPr>
          <w:noProof/>
        </w:rPr>
        <w:lastRenderedPageBreak/>
        <w:drawing>
          <wp:inline distT="0" distB="0" distL="0" distR="0" wp14:anchorId="45B19568" wp14:editId="48BD8A1A">
            <wp:extent cx="5486400" cy="2112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合并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CBFC" w14:textId="77777777" w:rsidR="00671E7B" w:rsidRPr="00592E85" w:rsidRDefault="00000000">
      <w:pPr>
        <w:rPr>
          <w:rFonts w:eastAsia="宋体"/>
          <w:lang w:eastAsia="zh-CN"/>
        </w:rPr>
      </w:pPr>
      <w:proofErr w:type="gramStart"/>
      <w:r w:rsidRPr="00592E85">
        <w:rPr>
          <w:rFonts w:eastAsia="宋体"/>
          <w:b/>
          <w:lang w:eastAsia="zh-CN"/>
        </w:rPr>
        <w:t>偏股基金</w:t>
      </w:r>
      <w:proofErr w:type="gramEnd"/>
      <w:r w:rsidRPr="00592E85">
        <w:rPr>
          <w:rFonts w:eastAsia="宋体"/>
          <w:b/>
          <w:lang w:eastAsia="zh-CN"/>
        </w:rPr>
        <w:t>回顾：</w:t>
      </w:r>
      <w:proofErr w:type="gramStart"/>
      <w:r w:rsidRPr="00592E85">
        <w:rPr>
          <w:rFonts w:eastAsia="宋体"/>
          <w:lang w:eastAsia="zh-CN"/>
        </w:rPr>
        <w:t>偏股型</w:t>
      </w:r>
      <w:proofErr w:type="gramEnd"/>
      <w:r w:rsidRPr="00592E85">
        <w:rPr>
          <w:rFonts w:eastAsia="宋体"/>
          <w:lang w:eastAsia="zh-CN"/>
        </w:rPr>
        <w:t>基金上周的平均收益率为-2.88%，今年以来平均收益率为-4.70%。具体来看各</w:t>
      </w:r>
      <w:proofErr w:type="gramStart"/>
      <w:r w:rsidRPr="00592E85">
        <w:rPr>
          <w:rFonts w:eastAsia="宋体"/>
          <w:lang w:eastAsia="zh-CN"/>
        </w:rPr>
        <w:t>类型偏股基金</w:t>
      </w:r>
      <w:proofErr w:type="gramEnd"/>
      <w:r w:rsidRPr="00592E85">
        <w:rPr>
          <w:rFonts w:eastAsia="宋体"/>
          <w:lang w:eastAsia="zh-CN"/>
        </w:rPr>
        <w:t>上周收益率：普通股票型基金为-3.05%、</w:t>
      </w:r>
      <w:proofErr w:type="gramStart"/>
      <w:r w:rsidRPr="00592E85">
        <w:rPr>
          <w:rFonts w:eastAsia="宋体"/>
          <w:lang w:eastAsia="zh-CN"/>
        </w:rPr>
        <w:t>偏股混合型</w:t>
      </w:r>
      <w:proofErr w:type="gramEnd"/>
      <w:r w:rsidRPr="00592E85">
        <w:rPr>
          <w:rFonts w:eastAsia="宋体"/>
          <w:lang w:eastAsia="zh-CN"/>
        </w:rPr>
        <w:t>基金为-3.10%、平衡混合型基金为-2.48%。</w:t>
      </w:r>
    </w:p>
    <w:p w14:paraId="2DA85BDD" w14:textId="77777777" w:rsidR="00671E7B" w:rsidRDefault="00000000">
      <w:r>
        <w:rPr>
          <w:noProof/>
        </w:rPr>
        <w:drawing>
          <wp:inline distT="0" distB="0" distL="0" distR="0" wp14:anchorId="2A67E0B0" wp14:editId="6E238039">
            <wp:extent cx="5486400" cy="271488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偏股基金收益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F48B" w14:textId="77777777" w:rsidR="00671E7B" w:rsidRPr="00592E85" w:rsidRDefault="00000000">
      <w:pPr>
        <w:rPr>
          <w:rFonts w:eastAsia="宋体"/>
          <w:lang w:eastAsia="zh-CN"/>
        </w:rPr>
      </w:pPr>
      <w:r w:rsidRPr="00592E85">
        <w:rPr>
          <w:rFonts w:eastAsia="宋体"/>
          <w:lang w:eastAsia="zh-CN"/>
        </w:rPr>
        <w:t>具体来看各类型</w:t>
      </w:r>
      <w:proofErr w:type="gramStart"/>
      <w:r w:rsidRPr="00592E85">
        <w:rPr>
          <w:rFonts w:eastAsia="宋体"/>
          <w:lang w:eastAsia="zh-CN"/>
        </w:rPr>
        <w:t>偏债基金</w:t>
      </w:r>
      <w:proofErr w:type="gramEnd"/>
      <w:r w:rsidRPr="00592E85">
        <w:rPr>
          <w:rFonts w:eastAsia="宋体"/>
          <w:lang w:eastAsia="zh-CN"/>
        </w:rPr>
        <w:t>上周收益率：</w:t>
      </w:r>
      <w:proofErr w:type="gramStart"/>
      <w:r w:rsidRPr="00592E85">
        <w:rPr>
          <w:rFonts w:eastAsia="宋体"/>
          <w:lang w:eastAsia="zh-CN"/>
        </w:rPr>
        <w:t>可转债基为</w:t>
      </w:r>
      <w:proofErr w:type="gramEnd"/>
      <w:r w:rsidRPr="00592E85">
        <w:rPr>
          <w:rFonts w:eastAsia="宋体"/>
          <w:lang w:eastAsia="zh-CN"/>
        </w:rPr>
        <w:t>-1.69%、</w:t>
      </w:r>
      <w:proofErr w:type="gramStart"/>
      <w:r w:rsidRPr="00592E85">
        <w:rPr>
          <w:rFonts w:eastAsia="宋体"/>
          <w:lang w:eastAsia="zh-CN"/>
        </w:rPr>
        <w:t>二级债基为</w:t>
      </w:r>
      <w:proofErr w:type="gramEnd"/>
      <w:r w:rsidRPr="00592E85">
        <w:rPr>
          <w:rFonts w:eastAsia="宋体"/>
          <w:lang w:eastAsia="zh-CN"/>
        </w:rPr>
        <w:t>-0.52%、</w:t>
      </w:r>
      <w:proofErr w:type="gramStart"/>
      <w:r w:rsidRPr="00592E85">
        <w:rPr>
          <w:rFonts w:eastAsia="宋体"/>
          <w:lang w:eastAsia="zh-CN"/>
        </w:rPr>
        <w:t>偏债混合型</w:t>
      </w:r>
      <w:proofErr w:type="gramEnd"/>
      <w:r w:rsidRPr="00592E85">
        <w:rPr>
          <w:rFonts w:eastAsia="宋体"/>
          <w:lang w:eastAsia="zh-CN"/>
        </w:rPr>
        <w:t>基金为-0.72%、普通债券型基金为-0.04%、</w:t>
      </w:r>
      <w:proofErr w:type="gramStart"/>
      <w:r w:rsidRPr="00592E85">
        <w:rPr>
          <w:rFonts w:eastAsia="宋体"/>
          <w:lang w:eastAsia="zh-CN"/>
        </w:rPr>
        <w:t>利率债基为</w:t>
      </w:r>
      <w:proofErr w:type="gramEnd"/>
      <w:r w:rsidRPr="00592E85">
        <w:rPr>
          <w:rFonts w:eastAsia="宋体"/>
          <w:lang w:eastAsia="zh-CN"/>
        </w:rPr>
        <w:t>0.05%、</w:t>
      </w:r>
      <w:proofErr w:type="gramStart"/>
      <w:r w:rsidRPr="00592E85">
        <w:rPr>
          <w:rFonts w:eastAsia="宋体"/>
          <w:lang w:eastAsia="zh-CN"/>
        </w:rPr>
        <w:t>纯债基</w:t>
      </w:r>
      <w:proofErr w:type="gramEnd"/>
      <w:r w:rsidRPr="00592E85">
        <w:rPr>
          <w:rFonts w:eastAsia="宋体"/>
          <w:lang w:eastAsia="zh-CN"/>
        </w:rPr>
        <w:t>为0.09%。</w:t>
      </w:r>
    </w:p>
    <w:p w14:paraId="542A485E" w14:textId="77777777" w:rsidR="00671E7B" w:rsidRPr="00592E85" w:rsidRDefault="00000000">
      <w:pPr>
        <w:rPr>
          <w:rFonts w:eastAsia="宋体"/>
          <w:lang w:eastAsia="zh-CN"/>
        </w:rPr>
      </w:pPr>
      <w:proofErr w:type="gramStart"/>
      <w:r w:rsidRPr="00592E85">
        <w:rPr>
          <w:rFonts w:eastAsia="宋体"/>
          <w:b/>
          <w:lang w:eastAsia="zh-CN"/>
        </w:rPr>
        <w:t>偏债基金</w:t>
      </w:r>
      <w:proofErr w:type="gramEnd"/>
      <w:r w:rsidRPr="00592E85">
        <w:rPr>
          <w:rFonts w:eastAsia="宋体"/>
          <w:b/>
          <w:lang w:eastAsia="zh-CN"/>
        </w:rPr>
        <w:t>回顾：</w:t>
      </w:r>
      <w:r w:rsidRPr="00592E85">
        <w:rPr>
          <w:rFonts w:eastAsia="宋体"/>
          <w:lang w:eastAsia="zh-CN"/>
        </w:rPr>
        <w:t>具体来看各类型</w:t>
      </w:r>
      <w:proofErr w:type="gramStart"/>
      <w:r w:rsidRPr="00592E85">
        <w:rPr>
          <w:rFonts w:eastAsia="宋体"/>
          <w:lang w:eastAsia="zh-CN"/>
        </w:rPr>
        <w:t>偏债基金</w:t>
      </w:r>
      <w:proofErr w:type="gramEnd"/>
      <w:r w:rsidRPr="00592E85">
        <w:rPr>
          <w:rFonts w:eastAsia="宋体"/>
          <w:lang w:eastAsia="zh-CN"/>
        </w:rPr>
        <w:t>上周收益率：</w:t>
      </w:r>
      <w:proofErr w:type="gramStart"/>
      <w:r w:rsidRPr="00592E85">
        <w:rPr>
          <w:rFonts w:eastAsia="宋体"/>
          <w:lang w:eastAsia="zh-CN"/>
        </w:rPr>
        <w:t>可转债基为</w:t>
      </w:r>
      <w:proofErr w:type="gramEnd"/>
      <w:r w:rsidRPr="00592E85">
        <w:rPr>
          <w:rFonts w:eastAsia="宋体"/>
          <w:lang w:eastAsia="zh-CN"/>
        </w:rPr>
        <w:t>-1.69%、</w:t>
      </w:r>
      <w:proofErr w:type="gramStart"/>
      <w:r w:rsidRPr="00592E85">
        <w:rPr>
          <w:rFonts w:eastAsia="宋体"/>
          <w:lang w:eastAsia="zh-CN"/>
        </w:rPr>
        <w:t>二级债基为</w:t>
      </w:r>
      <w:proofErr w:type="gramEnd"/>
      <w:r w:rsidRPr="00592E85">
        <w:rPr>
          <w:rFonts w:eastAsia="宋体"/>
          <w:lang w:eastAsia="zh-CN"/>
        </w:rPr>
        <w:t>-0.52%、</w:t>
      </w:r>
      <w:proofErr w:type="gramStart"/>
      <w:r w:rsidRPr="00592E85">
        <w:rPr>
          <w:rFonts w:eastAsia="宋体"/>
          <w:lang w:eastAsia="zh-CN"/>
        </w:rPr>
        <w:t>偏债混合型</w:t>
      </w:r>
      <w:proofErr w:type="gramEnd"/>
      <w:r w:rsidRPr="00592E85">
        <w:rPr>
          <w:rFonts w:eastAsia="宋体"/>
          <w:lang w:eastAsia="zh-CN"/>
        </w:rPr>
        <w:t>基金为-0.72%、普通债券型基金为-0.04%、</w:t>
      </w:r>
      <w:proofErr w:type="gramStart"/>
      <w:r w:rsidRPr="00592E85">
        <w:rPr>
          <w:rFonts w:eastAsia="宋体"/>
          <w:lang w:eastAsia="zh-CN"/>
        </w:rPr>
        <w:t>利率债基为</w:t>
      </w:r>
      <w:proofErr w:type="gramEnd"/>
      <w:r w:rsidRPr="00592E85">
        <w:rPr>
          <w:rFonts w:eastAsia="宋体"/>
          <w:lang w:eastAsia="zh-CN"/>
        </w:rPr>
        <w:t>0.05%、</w:t>
      </w:r>
      <w:proofErr w:type="gramStart"/>
      <w:r w:rsidRPr="00592E85">
        <w:rPr>
          <w:rFonts w:eastAsia="宋体"/>
          <w:lang w:eastAsia="zh-CN"/>
        </w:rPr>
        <w:t>纯债基</w:t>
      </w:r>
      <w:proofErr w:type="gramEnd"/>
      <w:r w:rsidRPr="00592E85">
        <w:rPr>
          <w:rFonts w:eastAsia="宋体"/>
          <w:lang w:eastAsia="zh-CN"/>
        </w:rPr>
        <w:t>为0.09%。</w:t>
      </w:r>
    </w:p>
    <w:p w14:paraId="7527301D" w14:textId="77777777" w:rsidR="00671E7B" w:rsidRDefault="00000000">
      <w:r>
        <w:rPr>
          <w:noProof/>
        </w:rPr>
        <w:lastRenderedPageBreak/>
        <w:drawing>
          <wp:inline distT="0" distB="0" distL="0" distR="0" wp14:anchorId="62FB0510" wp14:editId="52FE287A">
            <wp:extent cx="5486400" cy="26719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偏债基金收益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ACF0" w14:textId="77777777" w:rsidR="00671E7B" w:rsidRPr="00592E85" w:rsidRDefault="00000000">
      <w:pPr>
        <w:rPr>
          <w:rFonts w:eastAsia="宋体"/>
          <w:lang w:eastAsia="zh-CN"/>
        </w:rPr>
      </w:pPr>
      <w:r w:rsidRPr="00592E85">
        <w:rPr>
          <w:rFonts w:eastAsia="宋体"/>
          <w:b/>
          <w:lang w:eastAsia="zh-CN"/>
        </w:rPr>
        <w:t>权益ETF表现：</w:t>
      </w:r>
      <w:r w:rsidRPr="00592E85">
        <w:rPr>
          <w:rFonts w:eastAsia="宋体"/>
          <w:lang w:eastAsia="zh-CN"/>
        </w:rPr>
        <w:t>上周净值涨跌幅前五的权益ETF为通信电子、科技、计算机、人工智能和恒生科技，涨跌幅从高到低分别为4.70%、4.67%、4.44%、4.27%和4.07%。</w:t>
      </w:r>
    </w:p>
    <w:p w14:paraId="39905C50" w14:textId="77777777" w:rsidR="00671E7B" w:rsidRPr="00592E85" w:rsidRDefault="00000000">
      <w:pPr>
        <w:pStyle w:val="Heading1"/>
        <w:rPr>
          <w:rFonts w:ascii="宋体" w:eastAsia="宋体" w:hAnsi="宋体"/>
          <w:lang w:eastAsia="zh-CN"/>
        </w:rPr>
      </w:pPr>
      <w:r w:rsidRPr="00592E85">
        <w:rPr>
          <w:rFonts w:ascii="宋体" w:eastAsia="宋体" w:hAnsi="宋体"/>
          <w:color w:val="FF0000"/>
          <w:lang w:eastAsia="zh-CN"/>
        </w:rPr>
        <w:t>股票市场回顾</w:t>
      </w:r>
    </w:p>
    <w:p w14:paraId="72323CE8" w14:textId="77777777" w:rsidR="00671E7B" w:rsidRPr="00592E85" w:rsidRDefault="00000000">
      <w:pPr>
        <w:rPr>
          <w:rFonts w:eastAsia="宋体"/>
          <w:lang w:eastAsia="zh-CN"/>
        </w:rPr>
      </w:pPr>
      <w:r w:rsidRPr="00592E85">
        <w:rPr>
          <w:rFonts w:eastAsia="宋体"/>
          <w:b/>
          <w:lang w:eastAsia="zh-CN"/>
        </w:rPr>
        <w:t>国内股市：</w:t>
      </w:r>
    </w:p>
    <w:p w14:paraId="0C5773F0" w14:textId="77777777" w:rsidR="00671E7B" w:rsidRPr="00592E85" w:rsidRDefault="00000000">
      <w:pPr>
        <w:rPr>
          <w:rFonts w:eastAsia="宋体"/>
          <w:lang w:eastAsia="zh-CN"/>
        </w:rPr>
      </w:pPr>
      <w:r w:rsidRPr="00592E85">
        <w:rPr>
          <w:rFonts w:eastAsia="宋体"/>
          <w:lang w:eastAsia="zh-CN"/>
        </w:rPr>
        <w:t>上周A</w:t>
      </w:r>
      <w:proofErr w:type="gramStart"/>
      <w:r w:rsidRPr="00592E85">
        <w:rPr>
          <w:rFonts w:eastAsia="宋体"/>
          <w:lang w:eastAsia="zh-CN"/>
        </w:rPr>
        <w:t>股市场三大</w:t>
      </w:r>
      <w:proofErr w:type="gramEnd"/>
      <w:r w:rsidRPr="00592E85">
        <w:rPr>
          <w:rFonts w:eastAsia="宋体"/>
          <w:lang w:eastAsia="zh-CN"/>
        </w:rPr>
        <w:t>指数普跌，上证指数收于3189.248。具体来看，上证指数、沪深300和创业板指周涨跌幅分别为-3.01%、-3.39%、-3.37%。市场风格方面，成长风格表现优于价值风格，成长指数下跌-3.11%，价值指数下跌-3.28%；大盘风格表现优于小盘风格，大盘指数下跌-3.02%，小盘指数下跌-3.53%。行业方面，申万</w:t>
      </w:r>
      <w:proofErr w:type="gramStart"/>
      <w:r w:rsidRPr="00592E85">
        <w:rPr>
          <w:rFonts w:eastAsia="宋体"/>
          <w:lang w:eastAsia="zh-CN"/>
        </w:rPr>
        <w:t>31个</w:t>
      </w:r>
      <w:proofErr w:type="gramEnd"/>
      <w:r w:rsidRPr="00592E85">
        <w:rPr>
          <w:rFonts w:eastAsia="宋体"/>
          <w:lang w:eastAsia="zh-CN"/>
        </w:rPr>
        <w:t>行业中，石油石化(-0.56%)、煤炭(-0.73%)、交通运输(-1.37%)、医药生物(-1.48%)、基础化工(-1.95%)表现相对靠前；机械设备(-4.48%)、房地产(-4.59%)、家用电器(-4.79%)、建筑材料(-4.87%)、通信(-6.26%)表现相对落后。</w:t>
      </w:r>
    </w:p>
    <w:p w14:paraId="12078825" w14:textId="77777777" w:rsidR="00671E7B" w:rsidRPr="00592E85" w:rsidRDefault="00000000">
      <w:pPr>
        <w:rPr>
          <w:rFonts w:eastAsia="宋体"/>
          <w:lang w:eastAsia="zh-CN"/>
        </w:rPr>
      </w:pPr>
      <w:proofErr w:type="spellStart"/>
      <w:r w:rsidRPr="00592E85">
        <w:rPr>
          <w:rFonts w:eastAsia="宋体"/>
          <w:b/>
        </w:rPr>
        <w:t>海外股市：</w:t>
      </w:r>
      <w:r w:rsidRPr="00592E85">
        <w:rPr>
          <w:rFonts w:eastAsia="宋体"/>
        </w:rPr>
        <w:t>海外股市：上周海外股市普跌</w:t>
      </w:r>
      <w:proofErr w:type="spellEnd"/>
      <w:r w:rsidRPr="00592E85">
        <w:rPr>
          <w:rFonts w:eastAsia="宋体"/>
        </w:rPr>
        <w:t>。</w:t>
      </w:r>
      <w:r w:rsidRPr="00592E85">
        <w:rPr>
          <w:rFonts w:eastAsia="宋体"/>
          <w:lang w:eastAsia="zh-CN"/>
        </w:rPr>
        <w:t>具体来看，恒生指数、标普500、纳斯达克指数周涨跌幅分别为-2.38%、-0.31%、-1.90%。</w:t>
      </w:r>
    </w:p>
    <w:p w14:paraId="45FEB1A2" w14:textId="77777777" w:rsidR="00671E7B" w:rsidRDefault="00000000">
      <w:r>
        <w:rPr>
          <w:noProof/>
        </w:rPr>
        <w:lastRenderedPageBreak/>
        <w:drawing>
          <wp:inline distT="0" distB="0" distL="0" distR="0" wp14:anchorId="7B63BF36" wp14:editId="3CAB743A">
            <wp:extent cx="5486400" cy="26532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海内外股市指数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648C" w14:textId="77777777" w:rsidR="00671E7B" w:rsidRDefault="00000000">
      <w:r>
        <w:rPr>
          <w:noProof/>
        </w:rPr>
        <w:drawing>
          <wp:inline distT="0" distB="0" distL="0" distR="0" wp14:anchorId="1896A76B" wp14:editId="66A17F3F">
            <wp:extent cx="5486400" cy="2793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申万行业指数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40C1" w14:textId="77777777" w:rsidR="00671E7B" w:rsidRPr="00592E85" w:rsidRDefault="00000000">
      <w:pPr>
        <w:pStyle w:val="Heading1"/>
        <w:rPr>
          <w:rFonts w:ascii="宋体" w:eastAsia="宋体" w:hAnsi="宋体"/>
          <w:lang w:eastAsia="zh-CN"/>
        </w:rPr>
      </w:pPr>
      <w:r w:rsidRPr="00592E85">
        <w:rPr>
          <w:rFonts w:ascii="宋体" w:eastAsia="宋体" w:hAnsi="宋体"/>
          <w:color w:val="FF0000"/>
          <w:lang w:eastAsia="zh-CN"/>
        </w:rPr>
        <w:t>市场估值情况</w:t>
      </w:r>
    </w:p>
    <w:p w14:paraId="15DFE330" w14:textId="77777777" w:rsidR="00671E7B" w:rsidRPr="00592E85" w:rsidRDefault="00000000">
      <w:pPr>
        <w:rPr>
          <w:rFonts w:eastAsia="宋体"/>
          <w:lang w:eastAsia="zh-CN"/>
        </w:rPr>
      </w:pPr>
      <w:proofErr w:type="gramStart"/>
      <w:r w:rsidRPr="00592E85">
        <w:rPr>
          <w:rFonts w:eastAsia="宋体"/>
          <w:b/>
          <w:lang w:eastAsia="zh-CN"/>
        </w:rPr>
        <w:t>宽基指数</w:t>
      </w:r>
      <w:proofErr w:type="gramEnd"/>
      <w:r w:rsidRPr="00592E85">
        <w:rPr>
          <w:rFonts w:eastAsia="宋体"/>
          <w:b/>
          <w:lang w:eastAsia="zh-CN"/>
        </w:rPr>
        <w:t>PE：</w:t>
      </w:r>
      <w:r w:rsidRPr="00592E85">
        <w:rPr>
          <w:rFonts w:eastAsia="宋体"/>
          <w:lang w:eastAsia="zh-CN"/>
        </w:rPr>
        <w:t>截止2023年08月14日，上证50、中证1000、中证500、中证800、创业板50、沪深300、</w:t>
      </w:r>
      <w:proofErr w:type="gramStart"/>
      <w:r w:rsidRPr="00592E85">
        <w:rPr>
          <w:rFonts w:eastAsia="宋体"/>
          <w:lang w:eastAsia="zh-CN"/>
        </w:rPr>
        <w:t>科创</w:t>
      </w:r>
      <w:proofErr w:type="gramEnd"/>
      <w:r w:rsidRPr="00592E85">
        <w:rPr>
          <w:rFonts w:eastAsia="宋体"/>
          <w:lang w:eastAsia="zh-CN"/>
        </w:rPr>
        <w:t>50的PE估值倍数（估值分位数）分别为9.75（26.94%）、35.36（29.35%）、22.9（16.65%）、12.95（24.79%）、29.71（2.1%）、11.66（24.9%）、41.48（12.35%）,其中，所有</w:t>
      </w:r>
      <w:proofErr w:type="gramStart"/>
      <w:r w:rsidRPr="00592E85">
        <w:rPr>
          <w:rFonts w:eastAsia="宋体"/>
          <w:lang w:eastAsia="zh-CN"/>
        </w:rPr>
        <w:t>的宽基指数</w:t>
      </w:r>
      <w:proofErr w:type="gramEnd"/>
      <w:r w:rsidRPr="00592E85">
        <w:rPr>
          <w:rFonts w:eastAsia="宋体"/>
          <w:lang w:eastAsia="zh-CN"/>
        </w:rPr>
        <w:t>均处于低估水平</w:t>
      </w:r>
    </w:p>
    <w:p w14:paraId="491B6F52" w14:textId="77777777" w:rsidR="00671E7B" w:rsidRDefault="00000000">
      <w:r>
        <w:rPr>
          <w:noProof/>
        </w:rPr>
        <w:lastRenderedPageBreak/>
        <w:drawing>
          <wp:inline distT="0" distB="0" distL="0" distR="0" wp14:anchorId="5C9B89BF" wp14:editId="560059E0">
            <wp:extent cx="5486400" cy="432980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宽基指数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2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702F" w14:textId="77777777" w:rsidR="00671E7B" w:rsidRPr="00592E85" w:rsidRDefault="00000000">
      <w:pPr>
        <w:pStyle w:val="Heading1"/>
        <w:rPr>
          <w:rFonts w:ascii="宋体" w:eastAsia="宋体" w:hAnsi="宋体"/>
          <w:lang w:eastAsia="zh-CN"/>
        </w:rPr>
      </w:pPr>
      <w:r w:rsidRPr="00592E85">
        <w:rPr>
          <w:rFonts w:ascii="宋体" w:eastAsia="宋体" w:hAnsi="宋体"/>
          <w:color w:val="FF0000"/>
          <w:lang w:eastAsia="zh-CN"/>
        </w:rPr>
        <w:t>新发基金</w:t>
      </w:r>
    </w:p>
    <w:p w14:paraId="25FE9B49" w14:textId="77777777" w:rsidR="00671E7B" w:rsidRPr="00592E85" w:rsidRDefault="00000000">
      <w:pPr>
        <w:rPr>
          <w:rFonts w:eastAsia="宋体"/>
          <w:lang w:eastAsia="zh-CN"/>
        </w:rPr>
      </w:pPr>
      <w:r w:rsidRPr="00592E85">
        <w:rPr>
          <w:rFonts w:eastAsia="宋体"/>
          <w:color w:val="FF0000"/>
          <w:lang w:eastAsia="zh-CN"/>
        </w:rPr>
        <w:t>本周新发基金盘点</w:t>
      </w:r>
    </w:p>
    <w:p w14:paraId="3397FBB0" w14:textId="77777777" w:rsidR="00671E7B" w:rsidRPr="00592E85" w:rsidRDefault="00000000">
      <w:pPr>
        <w:rPr>
          <w:rFonts w:eastAsia="宋体"/>
          <w:lang w:eastAsia="zh-CN"/>
        </w:rPr>
      </w:pPr>
      <w:r w:rsidRPr="00592E85">
        <w:rPr>
          <w:rFonts w:eastAsia="宋体"/>
          <w:lang w:eastAsia="zh-CN"/>
        </w:rPr>
        <w:t>本周全市场拟新发行基金一共26只（同一基金不同份额只展示一只），发行数量较上周（共23只）有所上升。具体来看，</w:t>
      </w:r>
      <w:proofErr w:type="gramStart"/>
      <w:r w:rsidRPr="00592E85">
        <w:rPr>
          <w:rFonts w:eastAsia="宋体"/>
          <w:lang w:eastAsia="zh-CN"/>
        </w:rPr>
        <w:t>偏股型</w:t>
      </w:r>
      <w:proofErr w:type="gramEnd"/>
      <w:r w:rsidRPr="00592E85">
        <w:rPr>
          <w:rFonts w:eastAsia="宋体"/>
          <w:lang w:eastAsia="zh-CN"/>
        </w:rPr>
        <w:t>基金8只、</w:t>
      </w:r>
      <w:proofErr w:type="gramStart"/>
      <w:r w:rsidRPr="00592E85">
        <w:rPr>
          <w:rFonts w:eastAsia="宋体"/>
          <w:lang w:eastAsia="zh-CN"/>
        </w:rPr>
        <w:t>偏债型</w:t>
      </w:r>
      <w:proofErr w:type="gramEnd"/>
      <w:r w:rsidRPr="00592E85">
        <w:rPr>
          <w:rFonts w:eastAsia="宋体"/>
          <w:lang w:eastAsia="zh-CN"/>
        </w:rPr>
        <w:t>基金6只、指数型基金9只、QDII基金1只、FOF基金2只。</w:t>
      </w:r>
    </w:p>
    <w:p w14:paraId="689F634E" w14:textId="77777777" w:rsidR="00671E7B" w:rsidRDefault="00000000">
      <w:r>
        <w:rPr>
          <w:noProof/>
        </w:rPr>
        <w:lastRenderedPageBreak/>
        <w:drawing>
          <wp:inline distT="0" distB="0" distL="0" distR="0" wp14:anchorId="6684B905" wp14:editId="0CBADC12">
            <wp:extent cx="5486400" cy="409943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新发基金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1E7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55472760">
    <w:abstractNumId w:val="8"/>
  </w:num>
  <w:num w:numId="2" w16cid:durableId="1044670276">
    <w:abstractNumId w:val="6"/>
  </w:num>
  <w:num w:numId="3" w16cid:durableId="106629084">
    <w:abstractNumId w:val="5"/>
  </w:num>
  <w:num w:numId="4" w16cid:durableId="47463043">
    <w:abstractNumId w:val="4"/>
  </w:num>
  <w:num w:numId="5" w16cid:durableId="1924334879">
    <w:abstractNumId w:val="7"/>
  </w:num>
  <w:num w:numId="6" w16cid:durableId="636688104">
    <w:abstractNumId w:val="3"/>
  </w:num>
  <w:num w:numId="7" w16cid:durableId="442771514">
    <w:abstractNumId w:val="2"/>
  </w:num>
  <w:num w:numId="8" w16cid:durableId="375082319">
    <w:abstractNumId w:val="1"/>
  </w:num>
  <w:num w:numId="9" w16cid:durableId="17959498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592E85"/>
    <w:rsid w:val="00671E7B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1A6E135"/>
  <w14:defaultImageDpi w14:val="300"/>
  <w15:docId w15:val="{9B1D64E1-6C18-447C-8CA4-872503104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宋体" w:hAnsi="宋体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270</Words>
  <Characters>1540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1807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zxluo</cp:lastModifiedBy>
  <cp:revision>2</cp:revision>
  <dcterms:created xsi:type="dcterms:W3CDTF">2013-12-23T23:15:00Z</dcterms:created>
  <dcterms:modified xsi:type="dcterms:W3CDTF">2023-08-18T06:41:00Z</dcterms:modified>
  <cp:category/>
</cp:coreProperties>
</file>