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0"/>
          <w:szCs w:val="40"/>
        </w:rPr>
        <w:t xml:space="preserve">Sunlumo AI Sales Challenge</w:t>
      </w:r>
    </w:p>
    <w:p>
      <w:pPr>
        <w:spacing w:after="80"/>
        <w:jc w:val="center"/>
      </w:pPr>
      <w:r>
        <w:rPr>
          <w:rFonts w:ascii="Arial" w:cs="Arial" w:eastAsia="Arial" w:hAnsi="Arial"/>
          <w:color w:val="666666"/>
          <w:sz w:val="28"/>
          <w:szCs w:val="28"/>
        </w:rPr>
        <w:t xml:space="preserve">Proposal</w:t>
      </w:r>
    </w:p>
    <w:p>
      <w:pPr>
        <w:pBdr>
          <w:bottom w:val="single" w:color="2E4057" w:sz="6" w:space="1"/>
        </w:pBdr>
        <w:spacing w:after="360"/>
        <w:jc w:val="center"/>
      </w:pPr>
      <w:r>
        <w:t xml:space="preserve"/>
      </w:r>
    </w:p>
    <w:p>
      <w:pPr>
        <w:pStyle w:val="Heading1"/>
        <w:spacing w:after="160" w:before="360"/>
      </w:pPr>
      <w:r>
        <w:rPr>
          <w:rFonts w:ascii="Arial" w:cs="Arial" w:eastAsia="Arial" w:hAnsi="Arial"/>
          <w:b/>
          <w:bCs/>
          <w:sz w:val="30"/>
          <w:szCs w:val="30"/>
        </w:rPr>
        <w:t xml:space="preserve">The bet</w:t>
      </w:r>
    </w:p>
    <w:p>
      <w:pPr>
        <w:spacing w:after="120" w:line="300"/>
        <w:jc w:val="left"/>
      </w:pPr>
      <w:r>
        <w:rPr>
          <w:b/>
          <w:bCs/>
          <w:sz w:val="24"/>
          <w:szCs w:val="24"/>
        </w:rPr>
        <w:t xml:space="preserve">Three months. One country. One headline number.</w:t>
      </w:r>
    </w:p>
    <w:p>
      <w:pPr>
        <w:spacing w:after="120" w:line="300"/>
        <w:jc w:val="left"/>
      </w:pPr>
      <w:r>
        <w:rPr>
          <w:sz w:val="22"/>
          <w:szCs w:val="22"/>
        </w:rPr>
        <w:t xml:space="preserve">We will build, deploy, and validate a simulation-first agentic sales system for Sunlumo against a single high-confidence wedge — DACH installer reactivation through inbound-triggered outreach — and stake the entire engagement on Qualified Partner Registrations per €1,000 spent, measured monthly against Sunlumo's current cost baseline.</w:t>
      </w:r>
    </w:p>
    <w:p>
      <w:pPr>
        <w:spacing w:after="120" w:line="300"/>
        <w:jc w:val="left"/>
      </w:pPr>
      <w:r>
        <w:rPr>
          <w:sz w:val="22"/>
          <w:szCs w:val="22"/>
        </w:rPr>
        <w:t xml:space="preserve">If we don't beat that baseline by </w:t>
      </w:r>
      <w:r>
        <w:rPr>
          <w:b/>
          <w:bCs/>
          <w:sz w:val="22"/>
          <w:szCs w:val="22"/>
        </w:rPr>
        <w:t xml:space="preserve">3x within 90 days</w:t>
      </w:r>
      <w:r>
        <w:rPr>
          <w:sz w:val="22"/>
          <w:szCs w:val="22"/>
        </w:rPr>
        <w:t xml:space="preserve">, the engagement ends. No long planning phases, no theoretical milestones, no agency-style discovery workshops. By day 14 you will see your data ingested, a simulation engine retrodicting your historical campaigns, and a first real campaign deployed to a small consented cohort with predicted-vs-actual measurement live on a dashboard.</w:t>
      </w:r>
    </w:p>
    <w:p>
      <w:pPr>
        <w:spacing w:after="120" w:line="300"/>
        <w:jc w:val="left"/>
      </w:pPr>
      <w:r>
        <w:rPr>
          <w:sz w:val="22"/>
          <w:szCs w:val="22"/>
        </w:rPr>
        <w:t xml:space="preserve">The rest of this document is the architecture, methodology, evaluation discipline, team, and commercial structure that backs that commitment.</w:t>
      </w:r>
    </w:p>
    <w:p>
      <w:pPr>
        <w:pStyle w:val="Heading1"/>
        <w:spacing w:after="160" w:before="360"/>
      </w:pPr>
      <w:r>
        <w:rPr>
          <w:rFonts w:ascii="Arial" w:cs="Arial" w:eastAsia="Arial" w:hAnsi="Arial"/>
          <w:b/>
          <w:bCs/>
          <w:sz w:val="30"/>
          <w:szCs w:val="30"/>
        </w:rPr>
        <w:t xml:space="preserve">Why every other AI SDR fails the way it does</w:t>
      </w:r>
    </w:p>
    <w:p>
      <w:pPr>
        <w:spacing w:after="120" w:line="300"/>
        <w:jc w:val="left"/>
      </w:pPr>
      <w:r>
        <w:rPr>
          <w:sz w:val="22"/>
          <w:szCs w:val="22"/>
        </w:rPr>
        <w:t xml:space="preserve">The defining failure pattern of autonomous B2B sales in 2025 was published openly on Reddit: </w:t>
      </w:r>
      <w:r>
        <w:rPr>
          <w:i/>
          <w:iCs/>
          <w:sz w:val="22"/>
          <w:szCs w:val="22"/>
        </w:rPr>
        <w:t xml:space="preserve">"Artisan: 1,400 emails sent, zero replies."</w:t>
      </w:r>
      <w:r>
        <w:rPr>
          <w:sz w:val="22"/>
          <w:szCs w:val="22"/>
        </w:rPr>
        <w:t xml:space="preserve"> The pattern repeats across the category — generic AI copy, hallucinated personalization, deliverability burned, brand reputation damaged. The structural cause is the same in every case: </w:t>
      </w:r>
      <w:r>
        <w:rPr>
          <w:b/>
          <w:bCs/>
          <w:sz w:val="22"/>
          <w:szCs w:val="22"/>
        </w:rPr>
        <w:t xml:space="preserve">every major sales engagement platform deploys first and learns later.</w:t>
      </w:r>
      <w:r>
        <w:rPr>
          <w:sz w:val="22"/>
          <w:szCs w:val="22"/>
        </w:rPr>
        <w:t xml:space="preserve"> Campaigns are launched against live prospects and optimized only after real damage is done.</w:t>
      </w:r>
    </w:p>
    <w:p>
      <w:pPr>
        <w:spacing w:after="120" w:line="300"/>
        <w:jc w:val="left"/>
      </w:pPr>
      <w:r>
        <w:rPr>
          <w:sz w:val="22"/>
          <w:szCs w:val="22"/>
        </w:rPr>
        <w:t xml:space="preserve">For US SaaS sales teams optimizing for volume, that's tolerable. For a European battery distributor selling to a fragmented installer market where partner trust matters more than reply count, it is existential. One bad outbound campaign in DACH Handwerk culture damages partner trust for quarters. The cost of being wrong is asymmetric here — which is exactly why </w:t>
      </w:r>
      <w:r>
        <w:rPr>
          <w:b/>
          <w:bCs/>
          <w:sz w:val="22"/>
          <w:szCs w:val="22"/>
        </w:rPr>
        <w:t xml:space="preserve">pre-deployment simulation</w:t>
      </w:r>
      <w:r>
        <w:rPr>
          <w:sz w:val="22"/>
          <w:szCs w:val="22"/>
        </w:rPr>
        <w:t xml:space="preserve"> is the right architecture for this market specifically.</w:t>
      </w:r>
    </w:p>
    <w:p>
      <w:pPr>
        <w:pStyle w:val="Heading1"/>
        <w:spacing w:after="160" w:before="360"/>
      </w:pPr>
      <w:r>
        <w:rPr>
          <w:rFonts w:ascii="Arial" w:cs="Arial" w:eastAsia="Arial" w:hAnsi="Arial"/>
          <w:b/>
          <w:bCs/>
          <w:sz w:val="30"/>
          <w:szCs w:val="30"/>
        </w:rPr>
        <w:t xml:space="preserve">The wedge: one country, one channel, one number</w:t>
      </w:r>
    </w:p>
    <w:p>
      <w:pPr>
        <w:spacing w:after="120" w:line="300"/>
        <w:jc w:val="left"/>
      </w:pPr>
      <w:r>
        <w:rPr>
          <w:sz w:val="22"/>
          <w:szCs w:val="22"/>
        </w:rPr>
        <w:t xml:space="preserve">The temptation in this proposal is to pitch eight countries and six languages from day one. We are explicitly not doing that. The cleanest version of any new sales system is the smallest bet that proves the thesis. For Sunlumo, that bet is:</w:t>
      </w:r>
    </w:p>
    <w:p>
      <w:pPr>
        <w:pStyle w:val="ListParagraph"/>
        <w:numPr>
          <w:ilvl w:val="0"/>
          <w:numId w:val="2"/>
        </w:numPr>
        <w:spacing w:after="100" w:line="300"/>
      </w:pPr>
      <w:r>
        <w:rPr>
          <w:b/>
          <w:bCs/>
          <w:sz w:val="22"/>
          <w:szCs w:val="22"/>
        </w:rPr>
        <w:t xml:space="preserve">Country: </w:t>
      </w:r>
      <w:r>
        <w:rPr>
          <w:sz w:val="22"/>
          <w:szCs w:val="22"/>
        </w:rPr>
        <w:t xml:space="preserve">Germany + Austria — where Sunlumo's data, brand, and warehouse are strongest, and where the simulation engine has the data it needs to ground priors confidently.</w:t>
      </w:r>
    </w:p>
    <w:p>
      <w:pPr>
        <w:pStyle w:val="ListParagraph"/>
        <w:numPr>
          <w:ilvl w:val="0"/>
          <w:numId w:val="2"/>
        </w:numPr>
        <w:spacing w:after="100" w:line="300"/>
      </w:pPr>
      <w:r>
        <w:rPr>
          <w:b/>
          <w:bCs/>
          <w:sz w:val="22"/>
          <w:szCs w:val="22"/>
        </w:rPr>
        <w:t xml:space="preserve">Channel: </w:t>
      </w:r>
      <w:r>
        <w:rPr>
          <w:sz w:val="22"/>
          <w:szCs w:val="22"/>
        </w:rPr>
        <w:t xml:space="preserve">Email primary, WhatsApp follow-up. LinkedIn outbound automation is deliberately excluded — see the constraints section below.</w:t>
      </w:r>
    </w:p>
    <w:p>
      <w:pPr>
        <w:pStyle w:val="ListParagraph"/>
        <w:numPr>
          <w:ilvl w:val="0"/>
          <w:numId w:val="2"/>
        </w:numPr>
        <w:spacing w:after="100" w:line="300"/>
      </w:pPr>
      <w:r>
        <w:rPr>
          <w:b/>
          <w:bCs/>
          <w:sz w:val="22"/>
          <w:szCs w:val="22"/>
        </w:rPr>
        <w:t xml:space="preserve">Audience: </w:t>
      </w:r>
      <w:r>
        <w:rPr>
          <w:sz w:val="22"/>
          <w:szCs w:val="22"/>
        </w:rPr>
        <w:t xml:space="preserve">Existing-customer Salesviewer/Shopware-triggered cohorts and lapsed installer partners.</w:t>
      </w:r>
    </w:p>
    <w:p>
      <w:pPr>
        <w:pStyle w:val="ListParagraph"/>
        <w:numPr>
          <w:ilvl w:val="0"/>
          <w:numId w:val="2"/>
        </w:numPr>
        <w:spacing w:after="100" w:line="300"/>
      </w:pPr>
      <w:r>
        <w:rPr>
          <w:b/>
          <w:bCs/>
          <w:sz w:val="22"/>
          <w:szCs w:val="22"/>
        </w:rPr>
        <w:t xml:space="preserve">Trigger: </w:t>
      </w:r>
      <w:r>
        <w:rPr>
          <w:sz w:val="22"/>
          <w:szCs w:val="22"/>
        </w:rPr>
        <w:t xml:space="preserve">Real-world events — KfW subsidy changes, post-Intersolar follow-up, cart-abandonment, product-launch announcements.</w:t>
      </w:r>
    </w:p>
    <w:p>
      <w:pPr>
        <w:pStyle w:val="ListParagraph"/>
        <w:numPr>
          <w:ilvl w:val="0"/>
          <w:numId w:val="2"/>
        </w:numPr>
        <w:spacing w:after="100" w:line="300"/>
      </w:pPr>
      <w:r>
        <w:rPr>
          <w:b/>
          <w:bCs/>
          <w:sz w:val="22"/>
          <w:szCs w:val="22"/>
        </w:rPr>
        <w:t xml:space="preserve">Compliance basis: </w:t>
      </w:r>
      <w:r>
        <w:rPr>
          <w:sz w:val="22"/>
          <w:szCs w:val="22"/>
        </w:rPr>
        <w:t xml:space="preserve">Existing customer relationship under UWG §7 — zero cold consent risk in month 1.</w:t>
      </w:r>
    </w:p>
    <w:p>
      <w:pPr>
        <w:pStyle w:val="ListParagraph"/>
        <w:numPr>
          <w:ilvl w:val="0"/>
          <w:numId w:val="2"/>
        </w:numPr>
        <w:spacing w:after="100" w:line="300"/>
      </w:pPr>
      <w:r>
        <w:rPr>
          <w:b/>
          <w:bCs/>
          <w:sz w:val="22"/>
          <w:szCs w:val="22"/>
        </w:rPr>
        <w:t xml:space="preserve">Number: </w:t>
      </w:r>
      <w:r>
        <w:rPr>
          <w:sz w:val="22"/>
          <w:szCs w:val="22"/>
        </w:rPr>
        <w:t xml:space="preserve">Qualified Partner Registrations per €1,000 spent, where "qualified" means a signed installer agreement or first order placed.</w:t>
      </w:r>
    </w:p>
    <w:p>
      <w:pPr>
        <w:spacing w:after="120" w:line="300"/>
        <w:jc w:val="left"/>
      </w:pPr>
      <w:r>
        <w:rPr>
          <w:sz w:val="22"/>
          <w:szCs w:val="22"/>
        </w:rPr>
        <w:t xml:space="preserve">This is the warmest, fastest, most legally bulletproof, most data-rich pocket of Sunlumo's market. Once it's validated, the same system extends to Italy, France, Spain, and Poland in months 4-12 with the explicit cold-start methodology described below.</w:t>
      </w:r>
    </w:p>
    <w:p>
      <w:pPr>
        <w:pStyle w:val="Heading1"/>
        <w:spacing w:after="160" w:before="360"/>
      </w:pPr>
      <w:r>
        <w:rPr>
          <w:rFonts w:ascii="Arial" w:cs="Arial" w:eastAsia="Arial" w:hAnsi="Arial"/>
          <w:b/>
          <w:bCs/>
          <w:sz w:val="30"/>
          <w:szCs w:val="30"/>
        </w:rPr>
        <w:t xml:space="preserve">The system</w:t>
      </w:r>
    </w:p>
    <w:p>
      <w:pPr>
        <w:spacing w:after="120" w:line="300"/>
        <w:jc w:val="left"/>
      </w:pPr>
      <w:r>
        <w:rPr>
          <w:sz w:val="22"/>
          <w:szCs w:val="22"/>
        </w:rPr>
        <w:t xml:space="preserve">A central </w:t>
      </w:r>
      <w:r>
        <w:rPr>
          <w:b/>
          <w:bCs/>
          <w:sz w:val="22"/>
          <w:szCs w:val="22"/>
        </w:rPr>
        <w:t xml:space="preserve">Supervisor Agent</w:t>
      </w:r>
      <w:r>
        <w:rPr>
          <w:sz w:val="22"/>
          <w:szCs w:val="22"/>
        </w:rPr>
        <w:t xml:space="preserve"> orchestrates four specialized sub-agents — Research, Simulation, Outreach, and Feedback — exposed to Sunlumo's team through a visual DAG canvas where campaigns are designed, simulated, approved, and deployed without writing code. Every campaign passes through a mandatory </w:t>
      </w:r>
      <w:r>
        <w:rPr>
          <w:b/>
          <w:bCs/>
          <w:sz w:val="22"/>
          <w:szCs w:val="22"/>
        </w:rPr>
        <w:t xml:space="preserve">Simulation Node</w:t>
      </w:r>
      <w:r>
        <w:rPr>
          <w:sz w:val="22"/>
          <w:szCs w:val="22"/>
        </w:rPr>
        <w:t xml:space="preserve"> that predicts reply rates, channel performance, objection mix, and full-funnel conversion against 500+ synthetic installer personas grounded in Sunlumo's own historical data. Predicted-vs-actual outcomes flow back through Bayesian inference to tighten priors after every campaign.</w:t>
      </w:r>
    </w:p>
    <w:p>
      <w:pPr>
        <w:spacing w:after="120" w:line="300"/>
        <w:jc w:val="left"/>
      </w:pPr>
      <w:r>
        <w:rPr>
          <w:sz w:val="22"/>
          <w:szCs w:val="22"/>
        </w:rPr>
        <w:t xml:space="preserve">Compliance presets, native multilingual generation, a solar knowledge graph (product compatibility, subsidy programs, certification requirements), and channel-aware routing are built in. The system is purpose-built for the European distributor → installer motion. No US generalist offers this. No European generalist has the vertical depth. That gap is the moat.</w:t>
      </w:r>
    </w:p>
    <w:p>
      <w:pPr>
        <w:pStyle w:val="Heading1"/>
        <w:spacing w:after="160" w:before="360"/>
      </w:pPr>
      <w:r>
        <w:rPr>
          <w:rFonts w:ascii="Arial" w:cs="Arial" w:eastAsia="Arial" w:hAnsi="Arial"/>
          <w:b/>
          <w:bCs/>
          <w:sz w:val="30"/>
          <w:szCs w:val="30"/>
        </w:rPr>
        <w:t xml:space="preserve">Why this hasn't already shipped</w:t>
      </w:r>
    </w:p>
    <w:p>
      <w:pPr>
        <w:spacing w:after="120" w:line="300"/>
        <w:jc w:val="left"/>
      </w:pPr>
      <w:r>
        <w:rPr>
          <w:sz w:val="22"/>
          <w:szCs w:val="22"/>
        </w:rPr>
        <w:t xml:space="preserve">The honest answer to the obvious objection — </w:t>
      </w:r>
      <w:r>
        <w:rPr>
          <w:i/>
          <w:iCs/>
          <w:sz w:val="22"/>
          <w:szCs w:val="22"/>
        </w:rPr>
        <w:t xml:space="preserve">if this is so good, why hasn't Outreach or Apollo built it?</w:t>
      </w:r>
      <w:r>
        <w:rPr>
          <w:sz w:val="22"/>
          <w:szCs w:val="22"/>
        </w:rPr>
        <w:t xml:space="preserve"> — is three-part:</w:t>
      </w:r>
    </w:p>
    <w:p>
      <w:pPr>
        <w:spacing w:after="120" w:line="300"/>
        <w:jc w:val="left"/>
      </w:pPr>
      <w:r>
        <w:rPr>
          <w:b/>
          <w:bCs/>
          <w:sz w:val="22"/>
          <w:szCs w:val="22"/>
        </w:rPr>
        <w:t xml:space="preserve">Their customers don't ask for it. </w:t>
      </w:r>
      <w:r>
        <w:rPr>
          <w:sz w:val="22"/>
          <w:szCs w:val="22"/>
        </w:rPr>
        <w:t xml:space="preserve">US SaaS sales economics tolerate burned deliverability. European distributor → installer economics do not. The cost of a bad campaign is asymmetric in DACH Handwerk culture. Pre-deployment simulation is valuable in a way it isn't for Salesforce sequences to US tech buyers.</w:t>
      </w:r>
    </w:p>
    <w:p>
      <w:pPr>
        <w:spacing w:after="120" w:line="300"/>
        <w:jc w:val="left"/>
      </w:pPr>
      <w:r>
        <w:rPr>
          <w:b/>
          <w:bCs/>
          <w:sz w:val="22"/>
          <w:szCs w:val="22"/>
        </w:rPr>
        <w:t xml:space="preserve">Generic simulation isn't predictive enough to drive sales decisions. </w:t>
      </w:r>
      <w:r>
        <w:rPr>
          <w:sz w:val="22"/>
          <w:szCs w:val="22"/>
        </w:rPr>
        <w:t xml:space="preserve">The version that is predictive requires installer-archetype priors grounded in real CRM, support, and webshop data. Outreach has 6,000 customers across every vertical and cannot specialize. We can.</w:t>
      </w:r>
    </w:p>
    <w:p>
      <w:pPr>
        <w:spacing w:after="120" w:line="300"/>
        <w:jc w:val="left"/>
      </w:pPr>
      <w:r>
        <w:rPr>
          <w:b/>
          <w:bCs/>
          <w:sz w:val="22"/>
          <w:szCs w:val="22"/>
        </w:rPr>
        <w:t xml:space="preserve">The technical building blocks only stabilized in 2025. </w:t>
      </w:r>
      <w:r>
        <w:rPr>
          <w:sz w:val="22"/>
          <w:szCs w:val="22"/>
        </w:rPr>
        <w:t xml:space="preserve">Stanford's Park et al. paper on generative agent simulations (85% behavioral replication, 1,000 synthetic agents) shipped late 2024. Microsoft Research's Magentic Marketplace shipped October 2025. The peer-reviewed framework for multi-agent marketing simulation (arXiv 2510.18155) shipped October 2025. Existing platforms cannot retrofit this without rebuilding their core architecture. We start from it.</w:t>
      </w:r>
    </w:p>
    <w:p>
      <w:pPr>
        <w:spacing w:after="120" w:line="300"/>
        <w:jc w:val="left"/>
      </w:pPr>
      <w:r>
        <w:rPr>
          <w:sz w:val="22"/>
          <w:szCs w:val="22"/>
        </w:rPr>
        <w:t xml:space="preserve">This is the secret: simulation-first sales is the right architecture for vertical European B2B specifically because of the asymmetric cost of being wrong, and the building blocks just became reliable enough to ship.</w:t>
      </w:r>
    </w:p>
    <w:p>
      <w:pPr>
        <w:pStyle w:val="Heading1"/>
        <w:spacing w:after="160" w:before="360"/>
      </w:pPr>
      <w:r>
        <w:rPr>
          <w:rFonts w:ascii="Arial" w:cs="Arial" w:eastAsia="Arial" w:hAnsi="Arial"/>
          <w:b/>
          <w:bCs/>
          <w:sz w:val="30"/>
          <w:szCs w:val="30"/>
        </w:rPr>
        <w:t xml:space="preserve">Methodology: how simulation gets grounded in your data</w:t>
      </w:r>
    </w:p>
    <w:p>
      <w:pPr>
        <w:spacing w:after="120" w:line="300"/>
        <w:jc w:val="left"/>
      </w:pPr>
      <w:r>
        <w:rPr>
          <w:sz w:val="22"/>
          <w:szCs w:val="22"/>
        </w:rPr>
        <w:t xml:space="preserve">The simulation engine is the load-bearing component of the entire system. Its credibility rests on a six-phase methodology — five for data-rich markets, one for the cold-start problem in expansion markets.</w:t>
      </w:r>
    </w:p>
    <w:p>
      <w:pPr>
        <w:spacing w:after="120" w:line="300"/>
        <w:jc w:val="left"/>
      </w:pPr>
      <w:r>
        <w:rPr>
          <w:b/>
          <w:bCs/>
          <w:sz w:val="22"/>
          <w:szCs w:val="22"/>
        </w:rPr>
        <w:t xml:space="preserve">Phase 1 — Behavioral Prior Extraction. </w:t>
      </w:r>
      <w:r>
        <w:rPr>
          <w:sz w:val="22"/>
          <w:szCs w:val="22"/>
        </w:rPr>
        <w:t xml:space="preserve">Ingest Sunlumo's CRM deal history, email campaign outcomes, Intercom logs, webshop transactions, and Salesviewer visitor data. Extract empirical base rates per archetype: reply rates, objection distributions, channel preferences, deal cycles. These are hard constraints, not generated.</w:t>
      </w:r>
    </w:p>
    <w:p>
      <w:pPr>
        <w:spacing w:after="120" w:line="300"/>
        <w:jc w:val="left"/>
      </w:pPr>
      <w:r>
        <w:rPr>
          <w:b/>
          <w:bCs/>
          <w:sz w:val="22"/>
          <w:szCs w:val="22"/>
        </w:rPr>
        <w:t xml:space="preserve">Phase 2 — Constrained Persona Construction. </w:t>
      </w:r>
      <w:r>
        <w:rPr>
          <w:sz w:val="22"/>
          <w:szCs w:val="22"/>
        </w:rPr>
        <w:t xml:space="preserve">Each archetype is built from three layers: (a) a factual demographic shell from Cognism + national trade registers, (b) an empirical behavioral cage from Phase 1 priors, (c) an LLM-generated psychographic and conversational layer that operates only within the constraints of (a) and (b). The LLM decides how an installer phrases a price objection. It does not decide whether they object. That rate comes from data.</w:t>
      </w:r>
    </w:p>
    <w:p>
      <w:pPr>
        <w:spacing w:after="120" w:line="300"/>
        <w:jc w:val="left"/>
      </w:pPr>
      <w:r>
        <w:rPr>
          <w:b/>
          <w:bCs/>
          <w:sz w:val="22"/>
          <w:szCs w:val="22"/>
        </w:rPr>
        <w:t xml:space="preserve">Phase 3 — Simulation as Aggregation. </w:t>
      </w:r>
      <w:r>
        <w:rPr>
          <w:sz w:val="22"/>
          <w:szCs w:val="22"/>
        </w:rPr>
        <w:t xml:space="preserve">For any campaign, run 500 parallel sequences against the persona cohort. Outcomes are counted, not generated. 42 replies from 500 simulated personas yields a predicted 8.4% reply rate — descriptive, emergent from a counting exercise constrained by ground truth.</w:t>
      </w:r>
    </w:p>
    <w:p>
      <w:pPr>
        <w:spacing w:after="120" w:line="300"/>
        <w:jc w:val="left"/>
      </w:pPr>
      <w:r>
        <w:rPr>
          <w:b/>
          <w:bCs/>
          <w:sz w:val="22"/>
          <w:szCs w:val="22"/>
        </w:rPr>
        <w:t xml:space="preserve">Phase 4 — Retrodiction Calibration. </w:t>
      </w:r>
      <w:r>
        <w:rPr>
          <w:sz w:val="22"/>
          <w:szCs w:val="22"/>
        </w:rPr>
        <w:t xml:space="preserve">Before Sunlumo trusts a single forward prediction, we prove the simulator can reconstruct the past. Five historical Sunlumo campaigns with known measured outcomes are rebuilt — same audience, same copy, same sequence, same timing. Predicted reply rate is compared against actual. </w:t>
      </w:r>
      <w:r>
        <w:rPr>
          <w:b/>
          <w:bCs/>
          <w:sz w:val="22"/>
          <w:szCs w:val="22"/>
        </w:rPr>
        <w:t xml:space="preserve">Acceptance criterion: Mean Absolute Error ≤ 1.5 percentage points across the holdout.</w:t>
      </w:r>
      <w:r>
        <w:rPr>
          <w:sz w:val="22"/>
          <w:szCs w:val="22"/>
        </w:rPr>
        <w:t xml:space="preserve"> If we miss it, we don't deploy. We diagnose, retrain, retest.</w:t>
      </w:r>
    </w:p>
    <w:p>
      <w:pPr>
        <w:spacing w:after="120" w:line="300"/>
        <w:jc w:val="left"/>
      </w:pPr>
      <w:r>
        <w:rPr>
          <w:b/>
          <w:bCs/>
          <w:sz w:val="22"/>
          <w:szCs w:val="22"/>
        </w:rPr>
        <w:t xml:space="preserve">Phase 5 — Live Bayesian Updating. </w:t>
      </w:r>
      <w:r>
        <w:rPr>
          <w:sz w:val="22"/>
          <w:szCs w:val="22"/>
        </w:rPr>
        <w:t xml:space="preserve">Every real campaign outcome flows back through the Feedback Analyst Agent. Empirical priors are updated via Bayesian inference. Calibration drift is monitored weekly with Brier score reporting. Sunlumo watches the predicted-vs-actual gap shrink on a dashboard, campaign over campaign.</w:t>
      </w:r>
    </w:p>
    <w:p>
      <w:pPr>
        <w:spacing w:after="120" w:line="300"/>
        <w:jc w:val="left"/>
      </w:pPr>
      <w:r>
        <w:rPr>
          <w:b/>
          <w:bCs/>
          <w:sz w:val="22"/>
          <w:szCs w:val="22"/>
        </w:rPr>
        <w:t xml:space="preserve">Phase 6 — Hierarchical Persona Transfer (cold-start). </w:t>
      </w:r>
      <w:r>
        <w:rPr>
          <w:sz w:val="22"/>
          <w:szCs w:val="22"/>
        </w:rPr>
        <w:t xml:space="preserve">When entering Italy, France, Spain, or Poland with sparse historical data, the system bootstraps priors from the closest validated archetype using a weighted transfer model. The validated DACH prior becomes a Bayesian starting point with deliberately wide confidence intervals. Cultural distance adjustments are applied from public market data — language registers, trade-show participation, forum activity, regulatory environment. The first three campaigns in any new market are </w:t>
      </w:r>
      <w:r>
        <w:rPr>
          <w:b/>
          <w:bCs/>
          <w:sz w:val="22"/>
          <w:szCs w:val="22"/>
        </w:rPr>
        <w:t xml:space="preserve">calibration runs</w:t>
      </w:r>
      <w:r>
        <w:rPr>
          <w:sz w:val="22"/>
          <w:szCs w:val="22"/>
        </w:rPr>
        <w:t xml:space="preserve">, not predictions: Sunlumo sees both the simulated forecast and the actual outcome side-by-side until calibration passes. Trust is earned market by market.</w:t>
      </w:r>
    </w:p>
    <w:p>
      <w:pPr>
        <w:pStyle w:val="Heading1"/>
        <w:spacing w:after="160" w:before="360"/>
      </w:pPr>
      <w:r>
        <w:rPr>
          <w:rFonts w:ascii="Arial" w:cs="Arial" w:eastAsia="Arial" w:hAnsi="Arial"/>
          <w:b/>
          <w:bCs/>
          <w:sz w:val="30"/>
          <w:szCs w:val="30"/>
        </w:rPr>
        <w:t xml:space="preserve">What the system actually produces: two illustrative messages</w:t>
      </w:r>
    </w:p>
    <w:p>
      <w:pPr>
        <w:spacing w:after="120" w:line="300"/>
        <w:jc w:val="left"/>
      </w:pPr>
      <w:r>
        <w:rPr>
          <w:sz w:val="22"/>
          <w:szCs w:val="22"/>
        </w:rPr>
        <w:t xml:space="preserve">These are the system's expected output for two well-defined personas, generated by the methodology above and shown alongside the simulation forecast. The numbers are illustrative ranges; real values populate after Phase 1 prior extraction in week 1.</w:t>
      </w:r>
    </w:p>
    <w:p>
      <w:pPr>
        <w:pStyle w:val="Heading2"/>
        <w:spacing w:after="120" w:before="240"/>
      </w:pPr>
      <w:r>
        <w:rPr>
          <w:rFonts w:ascii="Arial" w:cs="Arial" w:eastAsia="Arial" w:hAnsi="Arial"/>
          <w:b/>
          <w:bCs/>
          <w:sz w:val="26"/>
          <w:szCs w:val="26"/>
        </w:rPr>
        <w:t xml:space="preserve">DACH solo Elektromeister — Salesviewer trigger, existing customer</w:t>
      </w:r>
    </w:p>
    <w:p>
      <w:pPr>
        <w:spacing w:after="120" w:line="300"/>
        <w:jc w:val="left"/>
      </w:pPr>
      <w:r>
        <w:rPr>
          <w:b/>
          <w:bCs/>
          <w:sz w:val="22"/>
          <w:szCs w:val="22"/>
        </w:rPr>
        <w:t xml:space="preserve">Trigger: </w:t>
      </w:r>
      <w:r>
        <w:rPr>
          <w:sz w:val="22"/>
          <w:szCs w:val="22"/>
        </w:rPr>
        <w:t xml:space="preserve">Existing-customer account viewed SigenStor 10kWh product page 3x in 5 days. Previous order Q2 2024. No recent activity.</w:t>
      </w:r>
    </w:p>
    <w:p>
      <w:pPr>
        <w:spacing w:after="120" w:line="300"/>
        <w:jc w:val="left"/>
      </w:pPr>
      <w:r>
        <w:rPr>
          <w:b/>
          <w:bCs/>
          <w:sz w:val="22"/>
          <w:szCs w:val="22"/>
        </w:rPr>
        <w:t xml:space="preserve">Channel selected by simulation: </w:t>
      </w:r>
      <w:r>
        <w:rPr>
          <w:sz w:val="22"/>
          <w:szCs w:val="22"/>
        </w:rPr>
        <w:t xml:space="preserve">Email primary, WhatsApp follow-up at day 5 if no reply.</w:t>
      </w:r>
    </w:p>
    <w:p>
      <w:pPr>
        <w:spacing w:after="120" w:line="300"/>
        <w:jc w:val="left"/>
      </w:pPr>
      <w:r>
        <w:rPr>
          <w:b/>
          <w:bCs/>
          <w:sz w:val="22"/>
          <w:szCs w:val="22"/>
        </w:rPr>
        <w:t xml:space="preserve">Compliance basis: </w:t>
      </w:r>
      <w:r>
        <w:rPr>
          <w:sz w:val="22"/>
          <w:szCs w:val="22"/>
        </w:rPr>
        <w:t xml:space="preserve">Existing customer under UWG §7(3).</w:t>
      </w:r>
    </w:p>
    <w:p>
      <w:pPr>
        <w:shd w:fill="F4F4F4" w:val="clear"/>
        <w:spacing w:after="80" w:line="300"/>
        <w:ind w:left="720" w:right="360"/>
      </w:pPr>
      <w:r>
        <w:rPr>
          <w:i/>
          <w:iCs/>
          <w:color w:val="333333"/>
          <w:sz w:val="21"/>
          <w:szCs w:val="21"/>
        </w:rPr>
        <w:t xml:space="preserve">Subject: KfW 442 — eine kurze Notiz für Ihr nächstes Projekt</w:t>
      </w:r>
    </w:p>
    <w:p>
      <w:pPr>
        <w:shd w:fill="F4F4F4" w:val="clear"/>
        <w:spacing w:after="80" w:line="300"/>
        <w:ind w:left="720" w:right="360"/>
      </w:pPr>
    </w:p>
    <w:p>
      <w:pPr>
        <w:shd w:fill="F4F4F4" w:val="clear"/>
        <w:spacing w:after="80" w:line="300"/>
        <w:ind w:left="720" w:right="360"/>
      </w:pPr>
      <w:r>
        <w:rPr>
          <w:i/>
          <w:iCs/>
          <w:color w:val="333333"/>
          <w:sz w:val="21"/>
          <w:szCs w:val="21"/>
        </w:rPr>
        <w:t xml:space="preserve">Hallo Herr [Name],</w:t>
      </w:r>
    </w:p>
    <w:p>
      <w:pPr>
        <w:shd w:fill="F4F4F4" w:val="clear"/>
        <w:spacing w:after="80" w:line="300"/>
        <w:ind w:left="720" w:right="360"/>
      </w:pPr>
    </w:p>
    <w:p>
      <w:pPr>
        <w:shd w:fill="F4F4F4" w:val="clear"/>
        <w:spacing w:after="80" w:line="300"/>
        <w:ind w:left="720" w:right="360"/>
      </w:pPr>
      <w:r>
        <w:rPr>
          <w:i/>
          <w:iCs/>
          <w:color w:val="333333"/>
          <w:sz w:val="21"/>
          <w:szCs w:val="21"/>
        </w:rPr>
        <w:t xml:space="preserve">mir ist aufgefallen, dass Sie sich diese Woche den SigenStor 10kWh angeschaut haben — falls das für ein konkretes Projekt ist, hier eine Sache, die für die Förderkalkulation gerade wichtig ist:</w:t>
      </w:r>
    </w:p>
    <w:p>
      <w:pPr>
        <w:shd w:fill="F4F4F4" w:val="clear"/>
        <w:spacing w:after="80" w:line="300"/>
        <w:ind w:left="720" w:right="360"/>
      </w:pPr>
    </w:p>
    <w:p>
      <w:pPr>
        <w:shd w:fill="F4F4F4" w:val="clear"/>
        <w:spacing w:after="80" w:line="300"/>
        <w:ind w:left="720" w:right="360"/>
      </w:pPr>
      <w:r>
        <w:rPr>
          <w:i/>
          <w:iCs/>
          <w:color w:val="333333"/>
          <w:sz w:val="21"/>
          <w:szCs w:val="21"/>
        </w:rPr>
        <w:t xml:space="preserve">Die KfW-442-Schwellenwerte wurden zum [Datum] angepasst. Für ein typisches Setup mit 10 kWh Speicher und 8-12 kWp PV bedeutet das [konkrete Auswirkung in einem Satz].</w:t>
      </w:r>
    </w:p>
    <w:p>
      <w:pPr>
        <w:shd w:fill="F4F4F4" w:val="clear"/>
        <w:spacing w:after="80" w:line="300"/>
        <w:ind w:left="720" w:right="360"/>
      </w:pPr>
    </w:p>
    <w:p>
      <w:pPr>
        <w:shd w:fill="F4F4F4" w:val="clear"/>
        <w:spacing w:after="80" w:line="300"/>
        <w:ind w:left="720" w:right="360"/>
      </w:pPr>
      <w:r>
        <w:rPr>
          <w:i/>
          <w:iCs/>
          <w:color w:val="333333"/>
          <w:sz w:val="21"/>
          <w:szCs w:val="21"/>
        </w:rPr>
        <w:t xml:space="preserve">Wenn es hilft, rechne ich Ihnen die Förderhöhe für Ihr konkretes Projekt unverbindlich durch — schicken Sie mir einfach kWp-Größe und Speicher per Antwort, und ich melde mich am selben Tag.</w:t>
      </w:r>
    </w:p>
    <w:p>
      <w:pPr>
        <w:shd w:fill="F4F4F4" w:val="clear"/>
        <w:spacing w:after="80" w:line="300"/>
        <w:ind w:left="720" w:right="360"/>
      </w:pPr>
    </w:p>
    <w:p>
      <w:pPr>
        <w:shd w:fill="F4F4F4" w:val="clear"/>
        <w:spacing w:after="80" w:line="300"/>
        <w:ind w:left="720" w:right="360"/>
      </w:pPr>
      <w:r>
        <w:rPr>
          <w:i/>
          <w:iCs/>
          <w:color w:val="333333"/>
          <w:sz w:val="21"/>
          <w:szCs w:val="21"/>
        </w:rPr>
        <w:t xml:space="preserve">Beste Grüße,</w:t>
      </w:r>
    </w:p>
    <w:p>
      <w:pPr>
        <w:shd w:fill="F4F4F4" w:val="clear"/>
        <w:spacing w:after="80" w:line="300"/>
        <w:ind w:left="720" w:right="360"/>
      </w:pPr>
      <w:r>
        <w:rPr>
          <w:i/>
          <w:iCs/>
          <w:color w:val="333333"/>
          <w:sz w:val="21"/>
          <w:szCs w:val="21"/>
        </w:rPr>
        <w:t xml:space="preserve">[Sunlumo KAM]</w:t>
      </w:r>
    </w:p>
    <w:p>
      <w:pPr>
        <w:shd w:fill="F4F4F4" w:val="clear"/>
        <w:spacing w:after="80" w:line="300"/>
        <w:ind w:left="720" w:right="360"/>
      </w:pPr>
    </w:p>
    <w:p>
      <w:pPr>
        <w:shd w:fill="F4F4F4" w:val="clear"/>
        <w:spacing w:after="200" w:line="300"/>
        <w:ind w:left="720" w:right="360"/>
      </w:pPr>
      <w:r>
        <w:rPr>
          <w:i/>
          <w:iCs/>
          <w:color w:val="333333"/>
          <w:sz w:val="21"/>
          <w:szCs w:val="21"/>
        </w:rPr>
        <w:t xml:space="preserve">PS: Falls Sie technisch mit der Inverter-Kompatibilität (Fronius / SMA / Kostal) gerade unsicher sind — die Matrix für SigenStor liegt hier: [link]</w:t>
      </w:r>
    </w:p>
    <w:p>
      <w:pPr>
        <w:spacing w:after="120" w:line="300"/>
        <w:jc w:val="left"/>
      </w:pPr>
      <w:r>
        <w:rPr>
          <w:b/>
          <w:bCs/>
          <w:sz w:val="22"/>
          <w:szCs w:val="22"/>
        </w:rPr>
        <w:t xml:space="preserve">Predicted simulation output (illustrative):</w:t>
      </w:r>
    </w:p>
    <w:p>
      <w:pPr>
        <w:pStyle w:val="ListParagraph"/>
        <w:numPr>
          <w:ilvl w:val="0"/>
          <w:numId w:val="2"/>
        </w:numPr>
        <w:spacing w:after="100" w:line="300"/>
      </w:pPr>
      <w:r>
        <w:rPr>
          <w:sz w:val="22"/>
          <w:szCs w:val="22"/>
        </w:rPr>
        <w:t xml:space="preserve">Predicted reply rate: 12-18%</w:t>
      </w:r>
    </w:p>
    <w:p>
      <w:pPr>
        <w:pStyle w:val="ListParagraph"/>
        <w:numPr>
          <w:ilvl w:val="0"/>
          <w:numId w:val="2"/>
        </w:numPr>
        <w:spacing w:after="100" w:line="300"/>
      </w:pPr>
      <w:r>
        <w:rPr>
          <w:sz w:val="22"/>
          <w:szCs w:val="22"/>
        </w:rPr>
        <w:t xml:space="preserve">Predicted positive-reply rate: 6-9%</w:t>
      </w:r>
    </w:p>
    <w:p>
      <w:pPr>
        <w:pStyle w:val="ListParagraph"/>
        <w:numPr>
          <w:ilvl w:val="0"/>
          <w:numId w:val="2"/>
        </w:numPr>
        <w:spacing w:after="100" w:line="300"/>
      </w:pPr>
      <w:r>
        <w:rPr>
          <w:sz w:val="22"/>
          <w:szCs w:val="22"/>
        </w:rPr>
        <w:t xml:space="preserve">Top predicted objections: "schon mit anderem Lieferanten" (32%), "Lieferzeit" (24%), "Preis" (18%)</w:t>
      </w:r>
    </w:p>
    <w:p>
      <w:pPr>
        <w:pStyle w:val="ListParagraph"/>
        <w:numPr>
          <w:ilvl w:val="0"/>
          <w:numId w:val="2"/>
        </w:numPr>
        <w:spacing w:after="100" w:line="300"/>
      </w:pPr>
      <w:r>
        <w:rPr>
          <w:sz w:val="22"/>
          <w:szCs w:val="22"/>
        </w:rPr>
        <w:t xml:space="preserve">Recommended day-5 WhatsApp follow-up: short voice note on the inverter-compatibility PS topic</w:t>
      </w:r>
    </w:p>
    <w:p>
      <w:pPr>
        <w:pStyle w:val="Heading2"/>
        <w:spacing w:after="120" w:before="240"/>
      </w:pPr>
      <w:r>
        <w:rPr>
          <w:rFonts w:ascii="Arial" w:cs="Arial" w:eastAsia="Arial" w:hAnsi="Arial"/>
          <w:b/>
          <w:bCs/>
          <w:sz w:val="26"/>
          <w:szCs w:val="26"/>
        </w:rPr>
        <w:t xml:space="preserve">Italian multi-tech installer — Shopware cart abandonment</w:t>
      </w:r>
    </w:p>
    <w:p>
      <w:pPr>
        <w:spacing w:after="120" w:line="300"/>
        <w:jc w:val="left"/>
      </w:pPr>
      <w:r>
        <w:rPr>
          <w:b/>
          <w:bCs/>
          <w:sz w:val="22"/>
          <w:szCs w:val="22"/>
        </w:rPr>
        <w:t xml:space="preserve">Trigger: </w:t>
      </w:r>
      <w:r>
        <w:rPr>
          <w:sz w:val="22"/>
          <w:szCs w:val="22"/>
        </w:rPr>
        <w:t xml:space="preserve">Cart abandoned 3 days ago — SigenStor 10kWh + Fronius Symo Hybrid 6.0. Previous purchases in 2024.</w:t>
      </w:r>
    </w:p>
    <w:p>
      <w:pPr>
        <w:spacing w:after="120" w:line="300"/>
        <w:jc w:val="left"/>
      </w:pPr>
      <w:r>
        <w:rPr>
          <w:b/>
          <w:bCs/>
          <w:sz w:val="22"/>
          <w:szCs w:val="22"/>
        </w:rPr>
        <w:t xml:space="preserve">Channel selected by simulation: </w:t>
      </w:r>
      <w:r>
        <w:rPr>
          <w:sz w:val="22"/>
          <w:szCs w:val="22"/>
        </w:rPr>
        <w:t xml:space="preserve">WhatsApp primary (Italian multi-tech archetype: 73% WhatsApp preference vs. 41% email per priors). Email as fallback.</w:t>
      </w:r>
    </w:p>
    <w:p>
      <w:pPr>
        <w:spacing w:after="120" w:line="300"/>
        <w:jc w:val="left"/>
      </w:pPr>
      <w:r>
        <w:rPr>
          <w:b/>
          <w:bCs/>
          <w:sz w:val="22"/>
          <w:szCs w:val="22"/>
        </w:rPr>
        <w:t xml:space="preserve">Compliance basis: </w:t>
      </w:r>
      <w:r>
        <w:rPr>
          <w:sz w:val="22"/>
          <w:szCs w:val="22"/>
        </w:rPr>
        <w:t xml:space="preserve">Existing customer + active commercial relationship.</w:t>
      </w:r>
    </w:p>
    <w:p>
      <w:pPr>
        <w:shd w:fill="F4F4F4" w:val="clear"/>
        <w:spacing w:after="80" w:line="300"/>
        <w:ind w:left="720" w:right="360"/>
      </w:pPr>
      <w:r>
        <w:rPr>
          <w:i/>
          <w:iCs/>
          <w:color w:val="333333"/>
          <w:sz w:val="21"/>
          <w:szCs w:val="21"/>
        </w:rPr>
        <w:t xml:space="preserve">Ciao [Nome],</w:t>
      </w:r>
    </w:p>
    <w:p>
      <w:pPr>
        <w:shd w:fill="F4F4F4" w:val="clear"/>
        <w:spacing w:after="80" w:line="300"/>
        <w:ind w:left="720" w:right="360"/>
      </w:pPr>
    </w:p>
    <w:p>
      <w:pPr>
        <w:shd w:fill="F4F4F4" w:val="clear"/>
        <w:spacing w:after="80" w:line="300"/>
        <w:ind w:left="720" w:right="360"/>
      </w:pPr>
      <w:r>
        <w:rPr>
          <w:i/>
          <w:iCs/>
          <w:color w:val="333333"/>
          <w:sz w:val="21"/>
          <w:szCs w:val="21"/>
        </w:rPr>
        <w:t xml:space="preserve">ho visto che venerdì hai messo nel carrello il SigenStor 10kWh con il Fronius Symo Hybrid 6.0 ma poi hai chiuso. Tutto a posto?</w:t>
      </w:r>
    </w:p>
    <w:p>
      <w:pPr>
        <w:shd w:fill="F4F4F4" w:val="clear"/>
        <w:spacing w:after="80" w:line="300"/>
        <w:ind w:left="720" w:right="360"/>
      </w:pPr>
    </w:p>
    <w:p>
      <w:pPr>
        <w:shd w:fill="F4F4F4" w:val="clear"/>
        <w:spacing w:after="80" w:line="300"/>
        <w:ind w:left="720" w:right="360"/>
      </w:pPr>
      <w:r>
        <w:rPr>
          <w:i/>
          <w:iCs/>
          <w:color w:val="333333"/>
          <w:sz w:val="21"/>
          <w:szCs w:val="21"/>
        </w:rPr>
        <w:t xml:space="preserve">Se è una questione di compatibilità sul Symo (a volte la firmware version conta), ti mando subito la matrice in PDF — rispondi solo "sì" e te la giro entro 10 minuti.</w:t>
      </w:r>
    </w:p>
    <w:p>
      <w:pPr>
        <w:shd w:fill="F4F4F4" w:val="clear"/>
        <w:spacing w:after="80" w:line="300"/>
        <w:ind w:left="720" w:right="360"/>
      </w:pPr>
    </w:p>
    <w:p>
      <w:pPr>
        <w:shd w:fill="F4F4F4" w:val="clear"/>
        <w:spacing w:after="80" w:line="300"/>
        <w:ind w:left="720" w:right="360"/>
      </w:pPr>
      <w:r>
        <w:rPr>
          <w:i/>
          <w:iCs/>
          <w:color w:val="333333"/>
          <w:sz w:val="21"/>
          <w:szCs w:val="21"/>
        </w:rPr>
        <w:t xml:space="preserve">Se invece serve una mano sul Superbonus/CER residuo per il cliente, posso anche mandarti il calcolo veloce. Dimmi tu.</w:t>
      </w:r>
    </w:p>
    <w:p>
      <w:pPr>
        <w:shd w:fill="F4F4F4" w:val="clear"/>
        <w:spacing w:after="80" w:line="300"/>
        <w:ind w:left="720" w:right="360"/>
      </w:pPr>
    </w:p>
    <w:p>
      <w:pPr>
        <w:shd w:fill="F4F4F4" w:val="clear"/>
        <w:spacing w:after="200" w:line="300"/>
        <w:ind w:left="720" w:right="360"/>
      </w:pPr>
      <w:r>
        <w:rPr>
          <w:i/>
          <w:iCs/>
          <w:color w:val="333333"/>
          <w:sz w:val="21"/>
          <w:szCs w:val="21"/>
        </w:rPr>
        <w:t xml:space="preserve">[Sunlumo KAM IT]</w:t>
      </w:r>
    </w:p>
    <w:p>
      <w:pPr>
        <w:spacing w:after="120" w:line="300"/>
        <w:jc w:val="left"/>
      </w:pPr>
      <w:r>
        <w:rPr>
          <w:b/>
          <w:bCs/>
          <w:sz w:val="22"/>
          <w:szCs w:val="22"/>
        </w:rPr>
        <w:t xml:space="preserve">Predicted simulation output (illustrative):</w:t>
      </w:r>
    </w:p>
    <w:p>
      <w:pPr>
        <w:pStyle w:val="ListParagraph"/>
        <w:numPr>
          <w:ilvl w:val="0"/>
          <w:numId w:val="2"/>
        </w:numPr>
        <w:spacing w:after="100" w:line="300"/>
      </w:pPr>
      <w:r>
        <w:rPr>
          <w:sz w:val="22"/>
          <w:szCs w:val="22"/>
        </w:rPr>
        <w:t xml:space="preserve">Predicted reply rate: 28-38% (cart-abandonment cohort, Italian multi-tech baseline)</w:t>
      </w:r>
    </w:p>
    <w:p>
      <w:pPr>
        <w:pStyle w:val="ListParagraph"/>
        <w:numPr>
          <w:ilvl w:val="0"/>
          <w:numId w:val="2"/>
        </w:numPr>
        <w:spacing w:after="100" w:line="300"/>
      </w:pPr>
      <w:r>
        <w:rPr>
          <w:sz w:val="22"/>
          <w:szCs w:val="22"/>
        </w:rPr>
        <w:t xml:space="preserve">Predicted recovery-to-purchase rate: 12-18%</w:t>
      </w:r>
    </w:p>
    <w:p>
      <w:pPr>
        <w:pStyle w:val="ListParagraph"/>
        <w:numPr>
          <w:ilvl w:val="0"/>
          <w:numId w:val="2"/>
        </w:numPr>
        <w:spacing w:after="100" w:line="300"/>
      </w:pPr>
      <w:r>
        <w:rPr>
          <w:sz w:val="22"/>
          <w:szCs w:val="22"/>
        </w:rPr>
        <w:t xml:space="preserve">Recommended fallback: email at day 3 with same content + compatibility PDF attached</w:t>
      </w:r>
    </w:p>
    <w:p>
      <w:pPr>
        <w:spacing w:after="120" w:line="300"/>
        <w:jc w:val="left"/>
      </w:pPr>
      <w:r>
        <w:rPr>
          <w:sz w:val="22"/>
          <w:szCs w:val="22"/>
        </w:rPr>
        <w:t xml:space="preserve">The point of these samples is not the copy itself. It is to demonstrate that the system writes copy a real installer would actually read — native register, real product references, real subsidy hooks, value-first, no pitch fatigue.</w:t>
      </w:r>
    </w:p>
    <w:p>
      <w:pPr>
        <w:pStyle w:val="Heading1"/>
        <w:spacing w:after="160" w:before="360"/>
      </w:pPr>
      <w:r>
        <w:rPr>
          <w:rFonts w:ascii="Arial" w:cs="Arial" w:eastAsia="Arial" w:hAnsi="Arial"/>
          <w:b/>
          <w:bCs/>
          <w:sz w:val="30"/>
          <w:szCs w:val="30"/>
        </w:rPr>
        <w:t xml:space="preserve">Sequencing: inbound-first, outbound-second</w:t>
      </w:r>
    </w:p>
    <w:p>
      <w:pPr>
        <w:spacing w:after="120" w:line="300"/>
        <w:jc w:val="left"/>
      </w:pPr>
      <w:r>
        <w:rPr>
          <w:sz w:val="22"/>
          <w:szCs w:val="22"/>
        </w:rPr>
        <w:t xml:space="preserve">The 90-day rollout is ordered by trust gradient, not technical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500"/>
        <w:gridCol w:w="3026"/>
      </w:tblGrid>
      <w:tr>
        <w:trPr>
          <w:tblHeader/>
        </w:trPr>
        <w:tc>
          <w:tcPr>
            <w:tcW w:type="dxa" w:w="1100"/>
            <w:tcBorders>
              <w:top w:val="single" w:color="BFBFBF" w:sz="1"/>
              <w:left w:val="single" w:color="BFBFBF" w:sz="1"/>
              <w:bottom w:val="single" w:color="BFBFBF" w:sz="1"/>
              <w:right w:val="single" w:color="BFBFBF" w:sz="1"/>
            </w:tcBorders>
            <w:shd w:fill="2E4057" w:val="clear"/>
            <w:tcMar>
              <w:top w:type="dxa" w:w="100"/>
              <w:left w:type="dxa" w:w="140"/>
              <w:bottom w:type="dxa" w:w="100"/>
              <w:right w:type="dxa" w:w="140"/>
            </w:tcMar>
          </w:tcPr>
          <w:p>
            <w:pPr>
              <w:spacing w:after="0"/>
            </w:pPr>
            <w:r>
              <w:rPr>
                <w:b/>
                <w:bCs/>
                <w:color w:val="FFFFFF"/>
                <w:sz w:val="21"/>
                <w:szCs w:val="21"/>
              </w:rPr>
              <w:t xml:space="preserve">Weeks</w:t>
            </w:r>
          </w:p>
        </w:tc>
        <w:tc>
          <w:tcPr>
            <w:tcW w:type="dxa" w:w="2400"/>
            <w:tcBorders>
              <w:top w:val="single" w:color="BFBFBF" w:sz="1"/>
              <w:left w:val="single" w:color="BFBFBF" w:sz="1"/>
              <w:bottom w:val="single" w:color="BFBFBF" w:sz="1"/>
              <w:right w:val="single" w:color="BFBFBF" w:sz="1"/>
            </w:tcBorders>
            <w:shd w:fill="2E4057" w:val="clear"/>
            <w:tcMar>
              <w:top w:type="dxa" w:w="100"/>
              <w:left w:type="dxa" w:w="140"/>
              <w:bottom w:type="dxa" w:w="100"/>
              <w:right w:type="dxa" w:w="140"/>
            </w:tcMar>
          </w:tcPr>
          <w:p>
            <w:pPr>
              <w:spacing w:after="0"/>
            </w:pPr>
            <w:r>
              <w:rPr>
                <w:b/>
                <w:bCs/>
                <w:color w:val="FFFFFF"/>
                <w:sz w:val="21"/>
                <w:szCs w:val="21"/>
              </w:rPr>
              <w:t xml:space="preserve">Trigger</w:t>
            </w:r>
          </w:p>
        </w:tc>
        <w:tc>
          <w:tcPr>
            <w:tcW w:type="dxa" w:w="2500"/>
            <w:tcBorders>
              <w:top w:val="single" w:color="BFBFBF" w:sz="1"/>
              <w:left w:val="single" w:color="BFBFBF" w:sz="1"/>
              <w:bottom w:val="single" w:color="BFBFBF" w:sz="1"/>
              <w:right w:val="single" w:color="BFBFBF" w:sz="1"/>
            </w:tcBorders>
            <w:shd w:fill="2E4057" w:val="clear"/>
            <w:tcMar>
              <w:top w:type="dxa" w:w="100"/>
              <w:left w:type="dxa" w:w="140"/>
              <w:bottom w:type="dxa" w:w="100"/>
              <w:right w:type="dxa" w:w="140"/>
            </w:tcMar>
          </w:tcPr>
          <w:p>
            <w:pPr>
              <w:spacing w:after="0"/>
            </w:pPr>
            <w:r>
              <w:rPr>
                <w:b/>
                <w:bCs/>
                <w:color w:val="FFFFFF"/>
                <w:sz w:val="21"/>
                <w:szCs w:val="21"/>
              </w:rPr>
              <w:t xml:space="preserve">Compliance basis</w:t>
            </w:r>
          </w:p>
        </w:tc>
        <w:tc>
          <w:tcPr>
            <w:tcW w:type="dxa" w:w="3026"/>
            <w:tcBorders>
              <w:top w:val="single" w:color="BFBFBF" w:sz="1"/>
              <w:left w:val="single" w:color="BFBFBF" w:sz="1"/>
              <w:bottom w:val="single" w:color="BFBFBF" w:sz="1"/>
              <w:right w:val="single" w:color="BFBFBF" w:sz="1"/>
            </w:tcBorders>
            <w:shd w:fill="2E4057" w:val="clear"/>
            <w:tcMar>
              <w:top w:type="dxa" w:w="100"/>
              <w:left w:type="dxa" w:w="140"/>
              <w:bottom w:type="dxa" w:w="100"/>
              <w:right w:type="dxa" w:w="140"/>
            </w:tcMar>
          </w:tcPr>
          <w:p>
            <w:pPr>
              <w:spacing w:after="0"/>
            </w:pPr>
            <w:r>
              <w:rPr>
                <w:b/>
                <w:bCs/>
                <w:color w:val="FFFFFF"/>
                <w:sz w:val="21"/>
                <w:szCs w:val="21"/>
              </w:rPr>
              <w:t xml:space="preserve">Why it leads</w:t>
            </w:r>
          </w:p>
        </w:tc>
      </w:tr>
      <w:tr>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1-4</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Salesviewer + Shopware cart-abandonment</w:t>
            </w:r>
          </w:p>
        </w:tc>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Existing customer under UWG §7</w:t>
            </w:r>
          </w:p>
        </w:tc>
        <w:tc>
          <w:tcPr>
            <w:tcW w:type="dxa" w:w="30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Highest signal, zero consent risk, fastest measurable ROI</w:t>
            </w:r>
          </w:p>
        </w:tc>
      </w:tr>
      <w:tr>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5-8</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Post-Intersolar / EES badge-scan follow-up</w:t>
            </w:r>
          </w:p>
        </w:tc>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Explicit consent at booth scan</w:t>
            </w:r>
          </w:p>
        </w:tc>
        <w:tc>
          <w:tcPr>
            <w:tcW w:type="dxa" w:w="30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Time-sensitive, multilingual, high-intent — the hero demo</w:t>
            </w:r>
          </w:p>
        </w:tc>
      </w:tr>
      <w:tr>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9-12</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KfW / EEG / subsidy-change triggered campaigns</w:t>
            </w:r>
          </w:p>
        </w:tc>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Existing customer + LIA-documented legitimate interest</w:t>
            </w:r>
          </w:p>
        </w:tc>
        <w:tc>
          <w:tcPr>
            <w:tcW w:type="dxa" w:w="30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Real-world hook, content-grade value, organic share</w:t>
            </w:r>
          </w:p>
        </w:tc>
      </w:tr>
      <w:tr>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Month 4+</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Cold outbound to net-new installer prospects</w:t>
            </w:r>
          </w:p>
        </w:tc>
        <w:tc>
          <w:tcPr>
            <w:tcW w:type="dxa" w:w="25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Country-by-country compliance preset</w:t>
            </w:r>
          </w:p>
        </w:tc>
        <w:tc>
          <w:tcPr>
            <w:tcW w:type="dxa" w:w="30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Only after warm-pipeline economics are proven</w:t>
            </w:r>
          </w:p>
        </w:tc>
      </w:tr>
    </w:tbl>
    <w:p>
      <w:pPr>
        <w:spacing w:after="120" w:line="300"/>
        <w:jc w:val="left"/>
      </w:pPr>
      <w:r>
        <w:rPr>
          <w:sz w:val="22"/>
          <w:szCs w:val="22"/>
        </w:rPr>
        <w:t xml:space="preserve"/>
      </w:r>
    </w:p>
    <w:p>
      <w:pPr>
        <w:spacing w:after="120" w:line="300"/>
        <w:jc w:val="left"/>
      </w:pPr>
      <w:r>
        <w:rPr>
          <w:sz w:val="22"/>
          <w:szCs w:val="22"/>
        </w:rPr>
        <w:t xml:space="preserve">Cold outbound to net-new installers is </w:t>
      </w:r>
      <w:r>
        <w:rPr>
          <w:b/>
          <w:bCs/>
          <w:sz w:val="22"/>
          <w:szCs w:val="22"/>
        </w:rPr>
        <w:t xml:space="preserve">explicitly deprioritized</w:t>
      </w:r>
      <w:r>
        <w:rPr>
          <w:sz w:val="22"/>
          <w:szCs w:val="22"/>
        </w:rPr>
        <w:t xml:space="preserve"> until the warm-signal pipeline produces measurable revenue. Most applicants will pitch the opposite. Most applicants will burn Sunlumo's brand in DACH within 60 days.</w:t>
      </w:r>
    </w:p>
    <w:p>
      <w:pPr>
        <w:pStyle w:val="Heading1"/>
        <w:spacing w:after="160" w:before="360"/>
      </w:pPr>
      <w:r>
        <w:rPr>
          <w:rFonts w:ascii="Arial" w:cs="Arial" w:eastAsia="Arial" w:hAnsi="Arial"/>
          <w:b/>
          <w:bCs/>
          <w:sz w:val="30"/>
          <w:szCs w:val="30"/>
        </w:rPr>
        <w:t xml:space="preserve">The Solar Knowledge Graph as inbound magnet</w:t>
      </w:r>
    </w:p>
    <w:p>
      <w:pPr>
        <w:spacing w:after="120" w:line="300"/>
        <w:jc w:val="left"/>
      </w:pPr>
      <w:r>
        <w:rPr>
          <w:sz w:val="22"/>
          <w:szCs w:val="22"/>
        </w:rPr>
        <w:t xml:space="preserve">The product knowledge embedded in the system — battery model compatibility, inverter pairings, KfW 442 / Superbonus / MaPrimeRenov' eligibility, Solarteur / RGE / MCS certification logic — is a public-facing asset, not just an internal agent capability.</w:t>
      </w:r>
    </w:p>
    <w:p>
      <w:pPr>
        <w:spacing w:after="120" w:line="300"/>
        <w:jc w:val="left"/>
      </w:pPr>
      <w:r>
        <w:rPr>
          <w:sz w:val="22"/>
          <w:szCs w:val="22"/>
        </w:rPr>
        <w:t xml:space="preserve">We will build and ship a </w:t>
      </w:r>
      <w:r>
        <w:rPr>
          <w:b/>
          <w:bCs/>
          <w:sz w:val="22"/>
          <w:szCs w:val="22"/>
        </w:rPr>
        <w:t xml:space="preserve">free, embeddable</w:t>
      </w:r>
      <w:r>
        <w:rPr>
          <w:sz w:val="22"/>
          <w:szCs w:val="22"/>
        </w:rPr>
        <w:t xml:space="preserve"> SigenStor compatibility checker and subsidy eligibility calculator that any installer can place on their own client-facing site, co-branded "Powered by Sunlumo." Three things happen:</w:t>
      </w:r>
    </w:p>
    <w:p>
      <w:pPr>
        <w:pStyle w:val="ListParagraph"/>
        <w:numPr>
          <w:ilvl w:val="0"/>
          <w:numId w:val="2"/>
        </w:numPr>
        <w:spacing w:after="100" w:line="300"/>
      </w:pPr>
      <w:r>
        <w:rPr>
          <w:sz w:val="22"/>
          <w:szCs w:val="22"/>
        </w:rPr>
        <w:t xml:space="preserve">Sunlumo earns organic SEO authority in the European installer education layer — a position no competitor (Memodo, Krannich, BayWa) currently holds.</w:t>
      </w:r>
    </w:p>
    <w:p>
      <w:pPr>
        <w:pStyle w:val="ListParagraph"/>
        <w:numPr>
          <w:ilvl w:val="0"/>
          <w:numId w:val="2"/>
        </w:numPr>
        <w:spacing w:after="100" w:line="300"/>
      </w:pPr>
      <w:r>
        <w:rPr>
          <w:sz w:val="22"/>
          <w:szCs w:val="22"/>
        </w:rPr>
        <w:t xml:space="preserve">Every embedded use generates a consented lead signal with full attribution.</w:t>
      </w:r>
    </w:p>
    <w:p>
      <w:pPr>
        <w:pStyle w:val="ListParagraph"/>
        <w:numPr>
          <w:ilvl w:val="0"/>
          <w:numId w:val="2"/>
        </w:numPr>
        <w:spacing w:after="100"/>
        <w:jc w:val="left"/>
      </w:pPr>
      <w:r>
        <w:rPr>
          <w:sz w:val="22"/>
          <w:szCs w:val="22"/>
        </w:rPr>
        <w:t xml:space="preserve">"Cold" outbound becomes warm: </w:t>
      </w:r>
      <w:r>
        <w:rPr>
          <w:i/>
          <w:iCs/>
          <w:sz w:val="22"/>
          <w:szCs w:val="22"/>
        </w:rPr>
        <w:t xml:space="preserve">"I noticed you embedded our compatibility tool last week — quick question on the SigenStor 10kWh setup..."</w:t>
      </w:r>
      <w:r>
        <w:rPr>
          <w:sz w:val="22"/>
          <w:szCs w:val="22"/>
        </w:rPr>
        <w:t xml:space="preserve"> That message has multiples of the reply rate of any cold first touch.</w:t>
      </w:r>
    </w:p>
    <w:p>
      <w:pPr>
        <w:spacing w:after="120" w:line="300"/>
        <w:jc w:val="left"/>
      </w:pPr>
      <w:r>
        <w:rPr>
          <w:sz w:val="22"/>
          <w:szCs w:val="22"/>
        </w:rPr>
        <w:t xml:space="preserve">The system earns the right to send the email by building the value-first content layer that makes the email warm before it lands.</w:t>
      </w:r>
    </w:p>
    <w:p>
      <w:pPr>
        <w:pStyle w:val="Heading1"/>
        <w:spacing w:after="160" w:before="360"/>
      </w:pPr>
      <w:r>
        <w:rPr>
          <w:rFonts w:ascii="Arial" w:cs="Arial" w:eastAsia="Arial" w:hAnsi="Arial"/>
          <w:b/>
          <w:bCs/>
          <w:sz w:val="30"/>
          <w:szCs w:val="30"/>
        </w:rPr>
        <w:t xml:space="preserve">Evaluation discipline</w:t>
      </w:r>
    </w:p>
    <w:p>
      <w:pPr>
        <w:spacing w:after="120" w:line="300"/>
        <w:jc w:val="left"/>
      </w:pPr>
      <w:r>
        <w:rPr>
          <w:b/>
          <w:bCs/>
          <w:sz w:val="22"/>
          <w:szCs w:val="22"/>
        </w:rPr>
        <w:t xml:space="preserve">Retrodiction acceptance: </w:t>
      </w:r>
      <w:r>
        <w:rPr>
          <w:sz w:val="22"/>
          <w:szCs w:val="22"/>
        </w:rPr>
        <w:t xml:space="preserve">MAE ≤ 1.5pp on reply-rate prediction across a 5-campaign holdout. Hard gate before any forward deployment.</w:t>
      </w:r>
    </w:p>
    <w:p>
      <w:pPr>
        <w:spacing w:after="120" w:line="300"/>
        <w:jc w:val="left"/>
      </w:pPr>
      <w:r>
        <w:rPr>
          <w:b/>
          <w:bCs/>
          <w:sz w:val="22"/>
          <w:szCs w:val="22"/>
        </w:rPr>
        <w:t xml:space="preserve">Calibration monitoring: </w:t>
      </w:r>
      <w:r>
        <w:rPr>
          <w:sz w:val="22"/>
          <w:szCs w:val="22"/>
        </w:rPr>
        <w:t xml:space="preserve">Weekly Brier score on predicted-vs-actual reply rate. Drift &gt; 2pp triggers prior recalibration.</w:t>
      </w:r>
    </w:p>
    <w:p>
      <w:pPr>
        <w:spacing w:after="120" w:line="300"/>
        <w:jc w:val="left"/>
      </w:pPr>
      <w:r>
        <w:rPr>
          <w:b/>
          <w:bCs/>
          <w:sz w:val="22"/>
          <w:szCs w:val="22"/>
        </w:rPr>
        <w:t xml:space="preserve">Ablation A/B in month 2: </w:t>
      </w:r>
      <w:r>
        <w:rPr>
          <w:sz w:val="22"/>
          <w:szCs w:val="22"/>
        </w:rPr>
        <w:t xml:space="preserve">Same audience cohort, same total spend — half deployed via simulation-recommended sequence, half via Sunlumo's current best-practice sequence. Measure delta on the headline KPI. This single experiment proves or disproves the entire thesis. We commit to publishing the result internally regardless of outcome.</w:t>
      </w:r>
    </w:p>
    <w:p>
      <w:pPr>
        <w:spacing w:after="120" w:line="300"/>
        <w:jc w:val="left"/>
      </w:pPr>
      <w:r>
        <w:rPr>
          <w:b/>
          <w:bCs/>
          <w:sz w:val="22"/>
          <w:szCs w:val="22"/>
        </w:rPr>
        <w:t xml:space="preserve">Cold-start trust curve: </w:t>
      </w:r>
      <w:r>
        <w:rPr>
          <w:sz w:val="22"/>
          <w:szCs w:val="22"/>
        </w:rPr>
        <w:t xml:space="preserve">First 3 campaigns in any new market are calibration runs with widened confidence intervals. Predictions are not used for spend decisions until calibration passes.</w:t>
      </w:r>
    </w:p>
    <w:p>
      <w:pPr>
        <w:pStyle w:val="Heading1"/>
        <w:spacing w:after="160" w:before="360"/>
      </w:pPr>
      <w:r>
        <w:rPr>
          <w:rFonts w:ascii="Arial" w:cs="Arial" w:eastAsia="Arial" w:hAnsi="Arial"/>
          <w:b/>
          <w:bCs/>
          <w:sz w:val="30"/>
          <w:szCs w:val="30"/>
        </w:rPr>
        <w:t xml:space="preserve">What we will not do</w:t>
      </w:r>
    </w:p>
    <w:p>
      <w:pPr>
        <w:spacing w:after="120" w:line="300"/>
        <w:jc w:val="left"/>
      </w:pPr>
      <w:r>
        <w:rPr>
          <w:sz w:val="22"/>
          <w:szCs w:val="22"/>
        </w:rPr>
        <w:t xml:space="preserve">A short, deliberate list. Constraints communicate competence.</w:t>
      </w:r>
    </w:p>
    <w:p>
      <w:pPr>
        <w:pStyle w:val="ListParagraph"/>
        <w:numPr>
          <w:ilvl w:val="0"/>
          <w:numId w:val="2"/>
        </w:numPr>
        <w:spacing w:after="100" w:line="300"/>
      </w:pPr>
      <w:r>
        <w:rPr>
          <w:b/>
          <w:bCs/>
          <w:sz w:val="22"/>
          <w:szCs w:val="22"/>
        </w:rPr>
        <w:t xml:space="preserve">No mass cold outbound to net-new German installers in months 1-3. </w:t>
      </w:r>
      <w:r>
        <w:rPr>
          <w:sz w:val="22"/>
          <w:szCs w:val="22"/>
        </w:rPr>
        <w:t xml:space="preserve">UWG §7 risk plus brand risk to Sunlumo. We start with existing-customer activation and consented-signal triggers only.</w:t>
      </w:r>
    </w:p>
    <w:p>
      <w:pPr>
        <w:pStyle w:val="ListParagraph"/>
        <w:numPr>
          <w:ilvl w:val="0"/>
          <w:numId w:val="2"/>
        </w:numPr>
        <w:spacing w:after="100" w:line="300"/>
      </w:pPr>
      <w:r>
        <w:rPr>
          <w:b/>
          <w:bCs/>
          <w:sz w:val="22"/>
          <w:szCs w:val="22"/>
        </w:rPr>
        <w:t xml:space="preserve">No LinkedIn automation that violates ToS. </w:t>
      </w:r>
      <w:r>
        <w:rPr>
          <w:sz w:val="22"/>
          <w:szCs w:val="22"/>
        </w:rPr>
        <w:t xml:space="preserve">LinkedIn restricted Apollo's company pages in March 2025 and has been actively cracking down on automation throughout 2025. We will use Sales Navigator manually (human-in-loop) for high-value enterprise accounts and skip LinkedIn outbound automation entirely until the platform's stance changes.</w:t>
      </w:r>
    </w:p>
    <w:p>
      <w:pPr>
        <w:pStyle w:val="ListParagraph"/>
        <w:numPr>
          <w:ilvl w:val="0"/>
          <w:numId w:val="2"/>
        </w:numPr>
        <w:spacing w:after="100" w:line="300"/>
      </w:pPr>
      <w:r>
        <w:rPr>
          <w:b/>
          <w:bCs/>
          <w:sz w:val="22"/>
          <w:szCs w:val="22"/>
        </w:rPr>
        <w:t xml:space="preserve">No simulation predictions claimed as accurate before Phase 4 retrodiction passes. </w:t>
      </w:r>
      <w:r>
        <w:rPr>
          <w:sz w:val="22"/>
          <w:szCs w:val="22"/>
        </w:rPr>
        <w:t xml:space="preserve">If MAE &gt; 1.5pp on the holdout, we don't deploy. We don't ship a number we can't defend.</w:t>
      </w:r>
    </w:p>
    <w:p>
      <w:pPr>
        <w:pStyle w:val="ListParagraph"/>
        <w:numPr>
          <w:ilvl w:val="0"/>
          <w:numId w:val="2"/>
        </w:numPr>
        <w:spacing w:after="100" w:line="300"/>
      </w:pPr>
      <w:r>
        <w:rPr>
          <w:b/>
          <w:bCs/>
          <w:sz w:val="22"/>
          <w:szCs w:val="22"/>
        </w:rPr>
        <w:t xml:space="preserve">No "AI replaces your team" rhetoric. </w:t>
      </w:r>
      <w:r>
        <w:rPr>
          <w:sz w:val="22"/>
          <w:szCs w:val="22"/>
        </w:rPr>
        <w:t xml:space="preserve">The system augments Sunlumo's KAM team. High-confidence replies are auto-handled. Ambiguous or high-stakes replies are escalated to humans with full conversational context. Sunlumo's brand is an asset; we don't put it in the hands of an unsupervised LLM.</w:t>
      </w:r>
    </w:p>
    <w:p>
      <w:pPr>
        <w:pStyle w:val="ListParagraph"/>
        <w:numPr>
          <w:ilvl w:val="0"/>
          <w:numId w:val="2"/>
        </w:numPr>
        <w:spacing w:after="100" w:line="300"/>
      </w:pPr>
      <w:r>
        <w:rPr>
          <w:b/>
          <w:bCs/>
          <w:sz w:val="22"/>
          <w:szCs w:val="22"/>
        </w:rPr>
        <w:t xml:space="preserve">No customer logos we don't have. </w:t>
      </w:r>
      <w:r>
        <w:rPr>
          <w:sz w:val="22"/>
          <w:szCs w:val="22"/>
        </w:rPr>
        <w:t xml:space="preserve">Some agentic SDR vendors have publicly violated this in 2025. We won't.</w:t>
      </w:r>
    </w:p>
    <w:p>
      <w:pPr>
        <w:pStyle w:val="Heading1"/>
        <w:spacing w:after="160" w:before="360"/>
      </w:pPr>
      <w:r>
        <w:rPr>
          <w:rFonts w:ascii="Arial" w:cs="Arial" w:eastAsia="Arial" w:hAnsi="Arial"/>
          <w:b/>
          <w:bCs/>
          <w:sz w:val="30"/>
          <w:szCs w:val="30"/>
        </w:rPr>
        <w:t xml:space="preserve">The team</w:t>
      </w:r>
    </w:p>
    <w:p>
      <w:pPr>
        <w:spacing w:after="120" w:line="300"/>
        <w:jc w:val="left"/>
      </w:pPr>
      <w:r>
        <w:rPr>
          <w:sz w:val="22"/>
          <w:szCs w:val="22"/>
        </w:rPr>
        <w:t xml:space="preserve">We are two AI systems builders. Our prior work spans education AI, computer vision, and blockchain — three domains that transfer directly to what Sunlumo needs.</w:t>
      </w:r>
    </w:p>
    <w:p>
      <w:pPr>
        <w:pStyle w:val="ListParagraph"/>
        <w:numPr>
          <w:ilvl w:val="0"/>
          <w:numId w:val="2"/>
        </w:numPr>
        <w:spacing w:after="100" w:line="300"/>
      </w:pPr>
      <w:r>
        <w:rPr>
          <w:b/>
          <w:bCs/>
          <w:sz w:val="22"/>
          <w:szCs w:val="22"/>
        </w:rPr>
        <w:t xml:space="preserve">Education AI </w:t>
      </w:r>
      <w:r>
        <w:rPr>
          <w:sz w:val="22"/>
          <w:szCs w:val="22"/>
        </w:rPr>
        <w:t xml:space="preserve">gives us the primitives for persona simulation: building agents that model learner state, adapt to individual trajectories, and evaluate outcomes. The simulation engine is the same architecture, applied to installer behavior instead of student behavior.</w:t>
      </w:r>
    </w:p>
    <w:p>
      <w:pPr>
        <w:pStyle w:val="ListParagraph"/>
        <w:numPr>
          <w:ilvl w:val="0"/>
          <w:numId w:val="2"/>
        </w:numPr>
        <w:spacing w:after="100" w:line="300"/>
      </w:pPr>
      <w:r>
        <w:rPr>
          <w:b/>
          <w:bCs/>
          <w:sz w:val="22"/>
          <w:szCs w:val="22"/>
        </w:rPr>
        <w:t xml:space="preserve">Computer vision </w:t>
      </w:r>
      <w:r>
        <w:rPr>
          <w:sz w:val="22"/>
          <w:szCs w:val="22"/>
        </w:rPr>
        <w:t xml:space="preserve">gives us multimodal document understanding: trade-show badge OCR, PDF datasheet ingestion into the solar knowledge graph, screenshot-based product compatibility extraction.</w:t>
      </w:r>
    </w:p>
    <w:p>
      <w:pPr>
        <w:pStyle w:val="ListParagraph"/>
        <w:numPr>
          <w:ilvl w:val="0"/>
          <w:numId w:val="2"/>
        </w:numPr>
        <w:spacing w:after="100" w:line="300"/>
      </w:pPr>
      <w:r>
        <w:rPr>
          <w:b/>
          <w:bCs/>
          <w:sz w:val="22"/>
          <w:szCs w:val="22"/>
        </w:rPr>
        <w:t xml:space="preserve">Blockchain systems </w:t>
      </w:r>
      <w:r>
        <w:rPr>
          <w:sz w:val="22"/>
          <w:szCs w:val="22"/>
        </w:rPr>
        <w:t xml:space="preserve">gives us production-grade auditable distributed systems with cryptographic verification trails — directly applicable to the GDPR consent ledger, court-grade audit trail, and tamper-proof campaign approval gates.</w:t>
      </w:r>
    </w:p>
    <w:p>
      <w:pPr>
        <w:spacing w:after="120" w:line="300"/>
        <w:jc w:val="left"/>
      </w:pPr>
      <w:r>
        <w:rPr>
          <w:sz w:val="22"/>
          <w:szCs w:val="22"/>
        </w:rPr>
        <w:t xml:space="preserve">We have not previously shipped a sales-tech product. The original brief stated: </w:t>
      </w:r>
      <w:r>
        <w:rPr>
          <w:i/>
          <w:iCs/>
          <w:sz w:val="22"/>
          <w:szCs w:val="22"/>
        </w:rPr>
        <w:t xml:space="preserve">"We're not looking for a typical agency. We're looking for AI agent builders, for people or teams who can actually build."</w:t>
      </w:r>
      <w:r>
        <w:rPr>
          <w:sz w:val="22"/>
          <w:szCs w:val="22"/>
        </w:rPr>
        <w:t xml:space="preserve"> That is exactly what we are. We do not carry the legacy assumptions, the US-centric playbook, the LinkedIn-automation dependency, or the multi-thousand-customer prioritization problem that prevents Outreach, Apollo, and Salesloft from building this.</w:t>
      </w:r>
    </w:p>
    <w:p>
      <w:pPr>
        <w:spacing w:after="120" w:line="300"/>
        <w:jc w:val="left"/>
      </w:pPr>
      <w:r>
        <w:rPr>
          <w:b/>
          <w:bCs/>
          <w:sz w:val="22"/>
          <w:szCs w:val="22"/>
        </w:rPr>
        <w:t xml:space="preserve">The brief asked for builders, not retrofitters. That is a feature of our team, not a bug.</w:t>
      </w:r>
    </w:p>
    <w:p>
      <w:pPr>
        <w:spacing w:after="120" w:line="300"/>
        <w:jc w:val="left"/>
      </w:pPr>
      <w:r>
        <w:rPr>
          <w:sz w:val="22"/>
          <w:szCs w:val="22"/>
        </w:rPr>
        <w:t xml:space="preserve">We will ship the simulation engine, the DAG canvas, the agent stack, the knowledge graph, and the evaluation infrastructure ourselves. No sub-contractors, no agency layer, no offshore team. Two builders, one Slack channel with Sunlumo, fast iteration, weekly demo cadence.</w:t>
      </w:r>
    </w:p>
    <w:p>
      <w:pPr>
        <w:pStyle w:val="Heading1"/>
        <w:spacing w:after="160" w:before="360"/>
      </w:pPr>
      <w:r>
        <w:rPr>
          <w:rFonts w:ascii="Arial" w:cs="Arial" w:eastAsia="Arial" w:hAnsi="Arial"/>
          <w:b/>
          <w:bCs/>
          <w:sz w:val="30"/>
          <w:szCs w:val="30"/>
        </w:rPr>
        <w:t xml:space="preserve">The first 14 days</w:t>
      </w:r>
    </w:p>
    <w:p>
      <w:pPr>
        <w:spacing w:after="120" w:line="300"/>
        <w:jc w:val="left"/>
      </w:pPr>
      <w:r>
        <w:rPr>
          <w:sz w:val="22"/>
          <w:szCs w:val="22"/>
        </w:rPr>
        <w:t xml:space="preserve">Concrete deliverables, not promises.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BFBFBF" w:sz="1"/>
              <w:left w:val="single" w:color="BFBFBF" w:sz="1"/>
              <w:bottom w:val="single" w:color="BFBFBF" w:sz="1"/>
              <w:right w:val="single" w:color="BFBFBF" w:sz="1"/>
            </w:tcBorders>
            <w:shd w:fill="2E4057" w:val="clear"/>
            <w:tcMar>
              <w:top w:type="dxa" w:w="100"/>
              <w:left w:type="dxa" w:w="140"/>
              <w:bottom w:type="dxa" w:w="100"/>
              <w:right w:type="dxa" w:w="140"/>
            </w:tcMar>
          </w:tcPr>
          <w:p>
            <w:pPr>
              <w:spacing w:after="0"/>
            </w:pPr>
            <w:r>
              <w:rPr>
                <w:b/>
                <w:bCs/>
                <w:color w:val="FFFFFF"/>
                <w:sz w:val="21"/>
                <w:szCs w:val="21"/>
              </w:rPr>
              <w:t xml:space="preserve">Day</w:t>
            </w:r>
          </w:p>
        </w:tc>
        <w:tc>
          <w:tcPr>
            <w:tcW w:type="dxa" w:w="4000"/>
            <w:tcBorders>
              <w:top w:val="single" w:color="BFBFBF" w:sz="1"/>
              <w:left w:val="single" w:color="BFBFBF" w:sz="1"/>
              <w:bottom w:val="single" w:color="BFBFBF" w:sz="1"/>
              <w:right w:val="single" w:color="BFBFBF" w:sz="1"/>
            </w:tcBorders>
            <w:shd w:fill="2E4057" w:val="clear"/>
            <w:tcMar>
              <w:top w:type="dxa" w:w="100"/>
              <w:left w:type="dxa" w:w="140"/>
              <w:bottom w:type="dxa" w:w="100"/>
              <w:right w:type="dxa" w:w="140"/>
            </w:tcMar>
          </w:tcPr>
          <w:p>
            <w:pPr>
              <w:spacing w:after="0"/>
            </w:pPr>
            <w:r>
              <w:rPr>
                <w:b/>
                <w:bCs/>
                <w:color w:val="FFFFFF"/>
                <w:sz w:val="21"/>
                <w:szCs w:val="21"/>
              </w:rPr>
              <w:t xml:space="preserve">Deliverable</w:t>
            </w:r>
          </w:p>
        </w:tc>
        <w:tc>
          <w:tcPr>
            <w:tcW w:type="dxa" w:w="4126"/>
            <w:tcBorders>
              <w:top w:val="single" w:color="BFBFBF" w:sz="1"/>
              <w:left w:val="single" w:color="BFBFBF" w:sz="1"/>
              <w:bottom w:val="single" w:color="BFBFBF" w:sz="1"/>
              <w:right w:val="single" w:color="BFBFBF" w:sz="1"/>
            </w:tcBorders>
            <w:shd w:fill="2E4057" w:val="clear"/>
            <w:tcMar>
              <w:top w:type="dxa" w:w="100"/>
              <w:left w:type="dxa" w:w="140"/>
              <w:bottom w:type="dxa" w:w="100"/>
              <w:right w:type="dxa" w:w="140"/>
            </w:tcMar>
          </w:tcPr>
          <w:p>
            <w:pPr>
              <w:spacing w:after="0"/>
            </w:pPr>
            <w:r>
              <w:rPr>
                <w:b/>
                <w:bCs/>
                <w:color w:val="FFFFFF"/>
                <w:sz w:val="21"/>
                <w:szCs w:val="21"/>
              </w:rPr>
              <w:t xml:space="preserve">Demo</w:t>
            </w:r>
          </w:p>
        </w:tc>
      </w:tr>
      <w:tr>
        <w:tc>
          <w:tcPr>
            <w:tcW w:type="dxa" w:w="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1-3</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Sunlumo CRM + email + Intercom + Salesviewer + Shopware data connectors operational</w:t>
            </w:r>
          </w:p>
        </w:tc>
        <w:tc>
          <w:tcPr>
            <w:tcW w:type="dxa" w:w="41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Live ingestion of last 12 months of data into the prior-extraction pipeline</w:t>
            </w:r>
          </w:p>
        </w:tc>
      </w:tr>
      <w:tr>
        <w:tc>
          <w:tcPr>
            <w:tcW w:type="dxa" w:w="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4-6</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Phase 1 prior extraction complete; first 3 DACH archetypes built and validated</w:t>
            </w:r>
          </w:p>
        </w:tc>
        <w:tc>
          <w:tcPr>
            <w:tcW w:type="dxa" w:w="41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Persona profile sheets reviewed with Sunlumo KAM team for face validity</w:t>
            </w:r>
          </w:p>
        </w:tc>
      </w:tr>
      <w:tr>
        <w:tc>
          <w:tcPr>
            <w:tcW w:type="dxa" w:w="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7-9</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Simulation Engine v0.1 running; first retrodiction against 2 historical campaigns</w:t>
            </w:r>
          </w:p>
        </w:tc>
        <w:tc>
          <w:tcPr>
            <w:tcW w:type="dxa" w:w="41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Live screen-share: feed historical campaign in, see predicted-vs-actual gap</w:t>
            </w:r>
          </w:p>
        </w:tc>
      </w:tr>
      <w:tr>
        <w:tc>
          <w:tcPr>
            <w:tcW w:type="dxa" w:w="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10-12</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DAG canvas v0.1 with one workflow hardcoded (Salesviewer → existing-customer reactivation)</w:t>
            </w:r>
          </w:p>
        </w:tc>
        <w:tc>
          <w:tcPr>
            <w:tcW w:type="dxa" w:w="41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Sunlumo team designs and simulates one campaign in the canvas</w:t>
            </w:r>
          </w:p>
        </w:tc>
      </w:tr>
      <w:tr>
        <w:tc>
          <w:tcPr>
            <w:tcW w:type="dxa" w:w="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b/>
                <w:bCs/>
                <w:sz w:val="21"/>
                <w:szCs w:val="21"/>
              </w:rPr>
              <w:t xml:space="preserve">13-14</w:t>
            </w:r>
          </w:p>
        </w:tc>
        <w:tc>
          <w:tcPr>
            <w:tcW w:type="dxa" w:w="40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First production deployment to small consented cohort (10-30 sends), with simulation forecast logged for predicted-vs-actual measurement</w:t>
            </w:r>
          </w:p>
        </w:tc>
        <w:tc>
          <w:tcPr>
            <w:tcW w:type="dxa" w:w="4126"/>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pPr>
            <w:r>
              <w:rPr>
                <w:sz w:val="21"/>
                <w:szCs w:val="21"/>
              </w:rPr>
              <w:t xml:space="preserve">Live dashboard: predicted reply rate vs. real-time actual</w:t>
            </w:r>
          </w:p>
        </w:tc>
      </w:tr>
    </w:tbl>
    <w:p>
      <w:pPr>
        <w:spacing w:after="120" w:line="300"/>
        <w:jc w:val="left"/>
      </w:pPr>
      <w:r>
        <w:rPr>
          <w:sz w:val="22"/>
          <w:szCs w:val="22"/>
        </w:rPr>
        <w:t xml:space="preserve"/>
      </w:r>
    </w:p>
    <w:p>
      <w:pPr>
        <w:spacing w:after="120" w:line="300"/>
        <w:jc w:val="left"/>
      </w:pPr>
      <w:r>
        <w:rPr>
          <w:sz w:val="22"/>
          <w:szCs w:val="22"/>
        </w:rPr>
        <w:t xml:space="preserve">By day 14, Sunlumo has seen the system ingest your data, simulate a campaign, predict an outcome, and deploy a small real campaign with predicted-vs-actual measurement live. </w:t>
      </w:r>
      <w:r>
        <w:rPr>
          <w:b/>
          <w:bCs/>
          <w:sz w:val="22"/>
          <w:szCs w:val="22"/>
        </w:rPr>
        <w:t xml:space="preserve">Every commitment in this proposal becomes empirically testable within two weeks.</w:t>
      </w:r>
    </w:p>
    <w:p>
      <w:pPr>
        <w:pStyle w:val="Heading1"/>
        <w:spacing w:after="160" w:before="360"/>
      </w:pPr>
      <w:r>
        <w:rPr>
          <w:rFonts w:ascii="Arial" w:cs="Arial" w:eastAsia="Arial" w:hAnsi="Arial"/>
          <w:b/>
          <w:bCs/>
          <w:sz w:val="30"/>
          <w:szCs w:val="30"/>
        </w:rPr>
        <w:t xml:space="preserve">Commercial structure</w:t>
      </w:r>
    </w:p>
    <w:p>
      <w:pPr>
        <w:spacing w:after="120" w:line="300"/>
        <w:jc w:val="left"/>
      </w:pPr>
      <w:r>
        <w:rPr>
          <w:sz w:val="22"/>
          <w:szCs w:val="22"/>
        </w:rPr>
        <w:t xml:space="preserve">Phased and tied to milestones, aligned with the contract range named in the brief.</w:t>
      </w:r>
    </w:p>
    <w:p>
      <w:pPr>
        <w:spacing w:after="120" w:line="300"/>
        <w:jc w:val="left"/>
      </w:pPr>
      <w:r>
        <w:rPr>
          <w:b/>
          <w:bCs/>
          <w:sz w:val="22"/>
          <w:szCs w:val="22"/>
        </w:rPr>
        <w:t xml:space="preserve">Phase 0 — Build &amp; Calibrate (Months 1-3, fixed: €60k). </w:t>
      </w:r>
      <w:r>
        <w:rPr>
          <w:sz w:val="22"/>
          <w:szCs w:val="22"/>
        </w:rPr>
        <w:t xml:space="preserve">The 90-day proof of life. Includes all infrastructure, prior extraction, simulation engine, DAG canvas, first three workflow templates, retrodiction validation, and the month-2 ablation A/B. </w:t>
      </w:r>
      <w:r>
        <w:rPr>
          <w:b/>
          <w:bCs/>
          <w:sz w:val="22"/>
          <w:szCs w:val="22"/>
        </w:rPr>
        <w:t xml:space="preserve">Phase gate:</w:t>
      </w:r>
      <w:r>
        <w:rPr>
          <w:sz w:val="22"/>
          <w:szCs w:val="22"/>
        </w:rPr>
        <w:t xml:space="preserve"> headline KPI shows ≥3x improvement vs. Sunlumo's current cost-per-qualified-partner. If we miss the gate, the engagement ends.</w:t>
      </w:r>
    </w:p>
    <w:p>
      <w:pPr>
        <w:spacing w:after="120" w:line="300"/>
        <w:jc w:val="left"/>
      </w:pPr>
      <w:r>
        <w:rPr>
          <w:b/>
          <w:bCs/>
          <w:sz w:val="22"/>
          <w:szCs w:val="22"/>
        </w:rPr>
        <w:t xml:space="preserve">Phase 1 — DACH Scale (Months 4-6, €60k + performance bonus). </w:t>
      </w:r>
      <w:r>
        <w:rPr>
          <w:sz w:val="22"/>
          <w:szCs w:val="22"/>
        </w:rPr>
        <w:t xml:space="preserve">Full DACH rollout, post-Intersolar workflow, KfW-trigger campaigns, public-facing knowledge graph asset launch. Performance bonus: €5k for every additional 1x improvement on the headline KPI above the 3x baseline.</w:t>
      </w:r>
    </w:p>
    <w:p>
      <w:pPr>
        <w:spacing w:after="120" w:line="300"/>
        <w:jc w:val="left"/>
      </w:pPr>
      <w:r>
        <w:rPr>
          <w:b/>
          <w:bCs/>
          <w:sz w:val="22"/>
          <w:szCs w:val="22"/>
        </w:rPr>
        <w:t xml:space="preserve">Phase 2 — European Expansion (Months 7-12, €120k + performance). </w:t>
      </w:r>
      <w:r>
        <w:rPr>
          <w:sz w:val="22"/>
          <w:szCs w:val="22"/>
        </w:rPr>
        <w:t xml:space="preserve">Italy, France, Spain, Poland rollout via Phase 6 cold-start methodology. Each market is a separate calibration run with its own KPI commitment.</w:t>
      </w:r>
    </w:p>
    <w:p>
      <w:pPr>
        <w:spacing w:after="120" w:line="300"/>
        <w:jc w:val="left"/>
      </w:pPr>
      <w:r>
        <w:rPr>
          <w:b/>
          <w:bCs/>
          <w:sz w:val="22"/>
          <w:szCs w:val="22"/>
        </w:rPr>
        <w:t xml:space="preserve">Phase 3 — Long-term partnership (Month 13+). </w:t>
      </w:r>
      <w:r>
        <w:rPr>
          <w:sz w:val="22"/>
          <w:szCs w:val="22"/>
        </w:rPr>
        <w:t xml:space="preserve">Renewable annual contract. Includes ongoing model maintenance, channel additions (voice agents, forum monitoring, LinkedIn manual layer when the platform stance stabilizes), and continued European expansion.</w:t>
      </w:r>
    </w:p>
    <w:p>
      <w:pPr>
        <w:spacing w:after="120" w:line="300"/>
        <w:jc w:val="left"/>
      </w:pPr>
      <w:r>
        <w:rPr>
          <w:b/>
          <w:bCs/>
          <w:sz w:val="22"/>
          <w:szCs w:val="22"/>
        </w:rPr>
        <w:t xml:space="preserve">Total Year 1 commitment: €240k base + performance bonuses, structured to derisk Sunlumo at every gate.</w:t>
      </w:r>
    </w:p>
    <w:p>
      <w:pPr>
        <w:spacing w:after="120" w:line="300"/>
        <w:jc w:val="left"/>
      </w:pPr>
      <w:r>
        <w:rPr>
          <w:b/>
          <w:bCs/>
          <w:sz w:val="22"/>
          <w:szCs w:val="22"/>
        </w:rPr>
        <w:t xml:space="preserve">Sunlumo's exclusive commitment: </w:t>
      </w:r>
      <w:r>
        <w:rPr>
          <w:sz w:val="22"/>
          <w:szCs w:val="22"/>
        </w:rPr>
        <w:t xml:space="preserve">we will not sell this system to Memodo, Krannich, BayWa, IBC SOLAR, EWS, Menlo Electric, or any other European battery-storage distributor for the duration of the engagement plus 12 months after.</w:t>
      </w:r>
    </w:p>
    <w:p>
      <w:pPr>
        <w:pStyle w:val="Heading1"/>
        <w:spacing w:after="160" w:before="360"/>
      </w:pPr>
      <w:r>
        <w:rPr>
          <w:rFonts w:ascii="Arial" w:cs="Arial" w:eastAsia="Arial" w:hAnsi="Arial"/>
          <w:b/>
          <w:bCs/>
          <w:sz w:val="30"/>
          <w:szCs w:val="30"/>
        </w:rPr>
        <w:t xml:space="preserve">What we are asking for</w:t>
      </w:r>
    </w:p>
    <w:p>
      <w:pPr>
        <w:spacing w:after="120" w:line="300"/>
        <w:jc w:val="left"/>
      </w:pPr>
      <w:r>
        <w:rPr>
          <w:sz w:val="22"/>
          <w:szCs w:val="22"/>
        </w:rPr>
        <w:t xml:space="preserve">A 14-day decision and a Phase 0 contract. We start the day Sunlumo signs.</w:t>
      </w:r>
    </w:p>
    <w:p>
      <w:pPr>
        <w:spacing w:after="120" w:line="300"/>
        <w:jc w:val="left"/>
      </w:pPr>
      <w:r>
        <w:rPr>
          <w:sz w:val="22"/>
          <w:szCs w:val="22"/>
        </w:rPr>
        <w:t xml:space="preserve">By day 14 you will have working infrastructure ingesting your data, a calibrated simulation engine retrodicting your historical campaigns, a DAG canvas your team can use, and a first real campaign deployed to a consented cohort with predicted-vs-actual measurement live. Every claim in this proposal is testable within two weeks of contract signature.</w:t>
      </w:r>
    </w:p>
    <w:p>
      <w:pPr>
        <w:spacing w:after="120" w:line="300"/>
        <w:jc w:val="left"/>
      </w:pPr>
      <w:r>
        <w:rPr>
          <w:sz w:val="22"/>
          <w:szCs w:val="22"/>
        </w:rPr>
        <w:t xml:space="preserve">The original brief said: </w:t>
      </w:r>
      <w:r>
        <w:rPr>
          <w:i/>
          <w:iCs/>
          <w:sz w:val="22"/>
          <w:szCs w:val="22"/>
        </w:rPr>
        <w:t xml:space="preserve">"We're looking for elite AI agent builders to reinvent B2B sales. We move fast. Selected winner will begin immediately."</w:t>
      </w:r>
    </w:p>
    <w:p>
      <w:pPr>
        <w:spacing w:after="120" w:line="300"/>
        <w:jc w:val="left"/>
      </w:pPr>
      <w:r>
        <w:rPr>
          <w:b/>
          <w:bCs/>
          <w:sz w:val="22"/>
          <w:szCs w:val="22"/>
        </w:rPr>
        <w:t xml:space="preserve">So will we.</w:t>
      </w:r>
    </w:p>
    <w:p>
      <w:pPr>
        <w:pBdr>
          <w:bottom w:val="single" w:color="999999" w:sz="6" w:space="1"/>
        </w:pBdr>
        <w:spacing w:after="200" w:before="200"/>
      </w:pPr>
      <w:r>
        <w:t xml:space="preserve"/>
      </w:r>
    </w:p>
    <w:p>
      <w:pPr>
        <w:spacing w:after="120" w:line="300"/>
        <w:jc w:val="center"/>
      </w:pPr>
      <w:r>
        <w:rPr>
          <w:i/>
          <w:iCs/>
          <w:color w:val="555555"/>
          <w:sz w:val="22"/>
          <w:szCs w:val="22"/>
        </w:rPr>
        <w:t xml:space="preserve">This is not "an AI SDR like 11x, but in German." This is the first simulation-tested, Bayesian-grounded, GDPR-native, vertical-specific B2B sales system for the European energy transition's distributor-to-installer commercial layer. Two builders. Ninety days. One headline number. Sunlumo as the reference case that defines the category.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Sunlumo AI Sales Challenge — Proposal</dc:title>
  <dc:creator>Sunlumo AI Sales Challenge Applicant</dc:creator>
  <cp:lastModifiedBy>Un-named</cp:lastModifiedBy>
  <cp:revision>1</cp:revision>
  <dcterms:created xsi:type="dcterms:W3CDTF">2026-04-28T08:37:27.329Z</dcterms:created>
  <dcterms:modified xsi:type="dcterms:W3CDTF">2026-04-28T08:37:27.329Z</dcterms:modified>
</cp:coreProperties>
</file>

<file path=docProps/custom.xml><?xml version="1.0" encoding="utf-8"?>
<Properties xmlns="http://schemas.openxmlformats.org/officeDocument/2006/custom-properties" xmlns:vt="http://schemas.openxmlformats.org/officeDocument/2006/docPropsVTypes"/>
</file>