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黑体" w:hAnsi="黑体" w:eastAsia="黑体"/>
          <w:b/>
          <w:color w:val="1F4E79"/>
          <w:sz w:val="40"/>
        </w:rPr>
        <w:t>殷  维</w:t>
      </w:r>
    </w:p>
    <w:p>
      <w:pPr>
        <w:spacing w:after="20" w:before="0" w:line="259" w:lineRule="auto"/>
        <w:jc w:val="center"/>
      </w:pPr>
      <w:r>
        <w:rPr>
          <w:rFonts w:ascii="宋体" w:hAnsi="宋体" w:eastAsia="宋体"/>
          <w:b w:val="0"/>
          <w:color w:val="555555"/>
          <w:sz w:val="22"/>
        </w:rPr>
        <w:t>量化研究员  |  金融硕士（华中科技大学）  |  6年A股量化研究与实盘</w:t>
      </w:r>
    </w:p>
    <w:p>
      <w:pPr>
        <w:spacing w:after="40" w:before="0" w:line="259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女  |  31岁  |  中共党员  |  武汉（可到岗北京/上海）  |  15671678098  |  yw43@foxmail.com</w:t>
      </w:r>
    </w:p>
    <w:p>
      <w:pPr>
        <w:spacing w:before="160" w:after="60" w:line="245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5"/>
        </w:rPr>
        <w:t>求职意向</w:t>
      </w:r>
    </w:p>
    <w:p>
      <w:pPr>
        <w:spacing w:after="40" w:before="0" w:line="259" w:lineRule="auto"/>
      </w:pPr>
      <w:r>
        <w:rPr>
          <w:rFonts w:ascii="宋体" w:hAnsi="宋体" w:eastAsia="宋体"/>
          <w:b w:val="0"/>
          <w:color w:val="2D2D2D"/>
          <w:sz w:val="21"/>
        </w:rPr>
        <w:t>国联民生证券  |  股权衍生品业务部  |  自营量化研究员（股票量化 / 因子研究 / 策略回测）</w:t>
      </w:r>
    </w:p>
    <w:p>
      <w:pPr>
        <w:spacing w:before="160" w:after="60" w:line="245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5"/>
        </w:rPr>
        <w:t>核心匹配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6年量化研究经历，覆盖多头选股、财务与基本面选股、行业与赛道轮动、套利与做市、股指期货CTA；可独立完成数据清洗、因子挖掘、回测验证、组合构建与实盘跟踪全流程。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股票量化：搭建标准化财务选股模型与季度核心股票池；以分钟级板块因子叠加日线量价因子做择时选股，掘金策略样本内年化17.14%、最大回撤2%、夏普3.4。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实盘跟踪与归因：2025年资金加权收益率年化约60%，2026年截至8月约40%；具备回撤拆解、参数与因子组合稳健性检验、策略迭代经验。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数据与工程：Python（Pandas / Numpy / Talib）处理日频与分钟行情、财报与业绩预告等截面数据；可在Linux服务器完成回测与信号脚本部署、定时任务与日志监控。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实盘约束意识：关注A股停复牌、涨跌停、交易成本、滑点与可成交性对回测与实盘差异的影响，回测中重视样本外表现与过拟合识别。</w:t>
      </w:r>
    </w:p>
    <w:p>
      <w:pPr>
        <w:spacing w:before="160" w:after="60" w:line="245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5"/>
        </w:rPr>
        <w:t>工作经历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【请填公司全称】（私募基金）  |  量化研究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2026.06 – 至今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承接强势股放量策略的验证与优化：设计「收盘价/前20日最低价&lt;130%」等过滤条件，重构收益率测算逻辑，用控制变量法搭建4组14项指标的回测对照表，最大单笔亏损由-27%压缩至-17%。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识别该类短线动量策略的适用边界：收益主要来自放量突破后的趋势延续，在低波动与下跌区间信号质量明显下降，据此提出加入市场状态过滤与仓位控制的改进方向。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负责分钟级行情扫描与信号推送落地，并在Linux服务器完成投研脚本部署、定时任务与日志监控，保证信号生成可复现、可跟踪。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量化研究工作室  |  独立研究员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2024.03 – 2026.05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行业与赛道轮动：结合宏观与行业框架跟踪热点赛道并为多头策略定调；完善短线买卖点与持仓纪律，持续做实盘跟踪与收益归因。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基本面因子与选股：搭建标准化财务选股模型，按季度更新核心股票池；建设全市场财报采集与业绩预告/快报爬虫，将基本面与事件数据接入选股流程。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实盘结果：2025年资金加权年化约60%，2026年截至8月约40%。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深圳引力波量化科技有限公司  |  量化研究员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2023.10 – 2024.02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负责行情与交易数据获取，使用Pandas、Numpy、Talib完成清洗、特征处理与分析。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参与套利、做市等策略开发与日常优化，关注价差、持仓风险、成交质量与策略稳定性。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江铜产融控股有限公司  |  量化研究员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2022.01 – 2023.09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对北上深量化私募开展问卷设计与实地尽调并撰写尽调报告，覆盖策略逻辑、因子来源、风险控制与实盘约束。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搭建二级市场研究框架，跟踪流动性等风险指标，服务投研判断与资产配置。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量盈私募基金管理有限公司  |  量化研究员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2020.08 – 2021.12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基于聚宽、掘金开展股票与期货因子挖掘、策略开发及回测优化，覆盖日频量价与基本面相关因子。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按基金经理要求用Python复现券商金工研报，校验因子定义、去极值与标准化处理、回测口径及样本外表现。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中国平安财产保险股份有限公司  |  再保险业务管理岗（管培生）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2019.07 – 2020.07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负责再保人月度资信更新、季度坏账计提与风险指标监控，并汇总关联与非关联交易数据。</w:t>
      </w:r>
    </w:p>
    <w:p>
      <w:pPr>
        <w:spacing w:before="160" w:after="60" w:line="245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5"/>
        </w:rPr>
        <w:t>项目经历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股票短线多头策略（掘金）  |  分钟板块因子 + 日线量价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2022.07 – 至今</w:t>
            </w:r>
          </w:p>
        </w:tc>
      </w:tr>
    </w:tbl>
    <w:p>
      <w:pPr>
        <w:spacing w:after="40" w:before="0" w:line="259" w:lineRule="auto"/>
      </w:pPr>
      <w:r>
        <w:rPr>
          <w:rFonts w:ascii="宋体" w:hAnsi="宋体" w:eastAsia="宋体"/>
          <w:b w:val="0"/>
          <w:color w:val="2D2D2D"/>
          <w:sz w:val="20"/>
        </w:rPr>
        <w:t>职责：因子挖掘与组合、回测评估、参数优化、实盘版本接入每日更新数据。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用分钟级板块因子刻画短线强度与拥挤度，结合日线量价因子完成择时与选股，形成可回测、可复现的研究流程。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回测关注收益、回撤、夏普、换手与参数稳健性；样本内最大回撤2%，年化17.14%，夏普比率3.4。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编写实盘策略接入掘金日更数据，跟踪信号衰减、滑点与可成交性，持续迭代因子与进出场规则。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基本面选股与赛道轮动研究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2024.03 – 至今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宏观赛道研究、财务选股模型与业绩预告及时性数据相结合，服务多头选股与行业轮动判断。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实盘资金加权：2025年年化约60%，2026年截至8月约40%。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期货CTA：基于模式识别的股指策略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2022.01 – 2022.03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Python结合tbquant，基于拓扑空间结构距离开发模式识别算法，在股指期货上完成策略开发、回测与参数优化。</w:t>
      </w:r>
    </w:p>
    <w:p>
      <w:pPr>
        <w:spacing w:before="160" w:after="60" w:line="245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5"/>
        </w:rPr>
        <w:t>教育背景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华中科技大学  |  金融学  |  硕士（全日制）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2017.09 – 2019.06</w:t>
            </w:r>
          </w:p>
        </w:tc>
      </w:tr>
    </w:tbl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主修量化投资、财务报表分析、金融建模与计算、数理统计；考研数学130/150。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论文：《医药行业上市公司价值评估研究——以云南白药为例》（股利贴现模型与量化分析）。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60" w:after="20"/>
            </w:pPr>
            <w:r/>
            <w:r>
              <w:rPr>
                <w:rFonts w:ascii="黑体" w:hAnsi="黑体" w:eastAsia="黑体"/>
                <w:b/>
                <w:color w:val="2D2D2D"/>
                <w:sz w:val="21"/>
              </w:rPr>
              <w:t>武汉科技大学  |  机械工程  |  本科（全日制）</w:t>
            </w:r>
          </w:p>
        </w:tc>
        <w:tc>
          <w:tcPr>
            <w:tcW w:type="dxa" w:w="5046"/>
          </w:tcPr>
          <w:p>
            <w:pPr>
              <w:spacing w:before="60" w:after="20"/>
              <w:jc w:val="right"/>
            </w:pPr>
            <w:r/>
            <w:r>
              <w:rPr>
                <w:rFonts w:ascii="宋体" w:hAnsi="宋体" w:eastAsia="宋体"/>
                <w:b w:val="0"/>
                <w:color w:val="555555"/>
                <w:sz w:val="20"/>
              </w:rPr>
              <w:t>2013.09 – 2017.06</w:t>
            </w:r>
          </w:p>
        </w:tc>
      </w:tr>
    </w:tbl>
    <w:p>
      <w:pPr>
        <w:spacing w:before="160" w:after="60" w:line="245" w:lineRule="auto"/>
        <w:pBdr>
          <w:bottom w:val="single" w:sz="12" w:space="1" w:color="1F4E79"/>
        </w:pBdr>
      </w:pPr>
      <w:r>
        <w:rPr>
          <w:rFonts w:ascii="黑体" w:hAnsi="黑体" w:eastAsia="黑体"/>
          <w:b/>
          <w:color w:val="1F4E79"/>
          <w:sz w:val="25"/>
        </w:rPr>
        <w:t>技能与证书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Python：Pandas、Numpy、Talib，可独立完成日频与分钟行情、财报截面数据的处理、因子计算、回测与可视化；熟悉Linux服务器环境配置、脚本部署与定时任务。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研究工具：聚宽、掘金、Wind、Stata、MATLAB、Excel；理解未来函数、过拟合与样本外失效等回测陷阱，研究中做参数稳健性与对照检验。</w:t>
      </w:r>
    </w:p>
    <w:p>
      <w:pPr>
        <w:pStyle w:val="ListBullet"/>
        <w:spacing w:after="24" w:before="0" w:line="259" w:lineRule="auto"/>
      </w:pPr>
      <w:r>
        <w:rPr>
          <w:rFonts w:ascii="宋体" w:hAnsi="宋体" w:eastAsia="宋体"/>
          <w:b w:val="0"/>
          <w:sz w:val="21"/>
        </w:rPr>
        <w:t>证书：证券、基金、银行从业资格，计算机二级；英语六级558，可阅读英文文献。</w:t>
      </w:r>
    </w:p>
    <w:p>
      <w:pPr>
        <w:spacing w:before="120"/>
        <w:jc w:val="right"/>
      </w:pPr>
      <w:r>
        <w:rPr>
          <w:rFonts w:ascii="宋体" w:hAnsi="宋体" w:eastAsia="宋体"/>
          <w:b w:val="0"/>
          <w:color w:val="888888"/>
          <w:sz w:val="16"/>
        </w:rPr>
        <w:t>针对国联民生证券自营量化研究员岗位优化  |  2026年8月</w:t>
      </w:r>
    </w:p>
    <w:sectPr w:rsidR="00FC693F" w:rsidRPr="0006063C" w:rsidSect="00034616">
      <w:pgSz w:w="11906" w:h="16838"/>
      <w:pgMar w:top="709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