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黑体" w:hAnsi="黑体" w:eastAsia="黑体"/>
          <w:b/>
          <w:color w:val="1F4E79"/>
          <w:sz w:val="40"/>
        </w:rPr>
        <w:t>殷  维</w:t>
      </w:r>
    </w:p>
    <w:p>
      <w:pPr>
        <w:spacing w:after="20" w:before="0" w:line="259" w:lineRule="auto"/>
        <w:jc w:val="center"/>
      </w:pPr>
      <w:r>
        <w:rPr>
          <w:rFonts w:ascii="宋体" w:hAnsi="宋体" w:eastAsia="宋体"/>
          <w:b w:val="0"/>
          <w:color w:val="555555"/>
          <w:sz w:val="22"/>
        </w:rPr>
        <w:t>量化研究员  |  金融硕士（华中科技大学）  |  6年A股量化研究与实盘</w:t>
      </w:r>
    </w:p>
    <w:p>
      <w:pPr>
        <w:spacing w:after="40" w:before="0" w:line="259" w:lineRule="auto"/>
        <w:jc w:val="center"/>
      </w:pPr>
      <w:r>
        <w:rPr>
          <w:rFonts w:ascii="宋体" w:hAnsi="宋体" w:eastAsia="宋体"/>
          <w:b w:val="0"/>
          <w:color w:val="555555"/>
          <w:sz w:val="20"/>
        </w:rPr>
        <w:t>女  |  31岁  |  中共党员  |  武汉（可到岗北京/上海）  |  15671678098  |  yw43@foxmail.com</w:t>
      </w:r>
    </w:p>
    <w:p>
      <w:pPr>
        <w:spacing w:before="160" w:after="60" w:line="245" w:lineRule="auto"/>
        <w:pBdr>
          <w:bottom w:val="single" w:sz="12" w:space="1" w:color="1F4E79"/>
        </w:pBdr>
      </w:pPr>
      <w:r>
        <w:rPr>
          <w:rFonts w:ascii="黑体" w:hAnsi="黑体" w:eastAsia="黑体"/>
          <w:b/>
          <w:color w:val="1F4E79"/>
          <w:sz w:val="25"/>
        </w:rPr>
        <w:t>求职意向</w:t>
      </w:r>
    </w:p>
    <w:p>
      <w:pPr>
        <w:spacing w:after="40" w:before="0" w:line="259" w:lineRule="auto"/>
      </w:pPr>
      <w:r>
        <w:rPr>
          <w:rFonts w:ascii="宋体" w:hAnsi="宋体" w:eastAsia="宋体"/>
          <w:b w:val="0"/>
          <w:color w:val="2D2D2D"/>
          <w:sz w:val="21"/>
        </w:rPr>
        <w:t>国联民生证券  |  股权衍生品业务部  |  自营量化研究员（股票量化 / 因子研究 / 策略回测）</w:t>
      </w:r>
    </w:p>
    <w:p>
      <w:pPr>
        <w:spacing w:before="160" w:after="60" w:line="245" w:lineRule="auto"/>
        <w:pBdr>
          <w:bottom w:val="single" w:sz="12" w:space="1" w:color="1F4E79"/>
        </w:pBdr>
      </w:pPr>
      <w:r>
        <w:rPr>
          <w:rFonts w:ascii="黑体" w:hAnsi="黑体" w:eastAsia="黑体"/>
          <w:b/>
          <w:color w:val="1F4E79"/>
          <w:sz w:val="25"/>
        </w:rPr>
        <w:t>核心匹配</w:t>
      </w:r>
    </w:p>
    <w:p>
      <w:pPr>
        <w:pStyle w:val="ListBullet"/>
        <w:spacing w:after="24" w:before="0" w:line="259" w:lineRule="auto"/>
      </w:pPr>
      <w:r>
        <w:rPr>
          <w:rFonts w:ascii="宋体" w:hAnsi="宋体" w:eastAsia="宋体"/>
          <w:b w:val="0"/>
          <w:sz w:val="21"/>
        </w:rPr>
        <w:t>6年量化研究经历，覆盖多头选股、财务与基本面选股、行业与赛道轮动、套利与做市、股指期货CTA；可独立完成数据清洗、因子挖掘、回测验证、组合构建与实盘跟踪全流程。</w:t>
      </w:r>
    </w:p>
    <w:p>
      <w:pPr>
        <w:pStyle w:val="ListBullet"/>
        <w:spacing w:after="24" w:before="0" w:line="259" w:lineRule="auto"/>
      </w:pPr>
      <w:r>
        <w:rPr>
          <w:rFonts w:ascii="宋体" w:hAnsi="宋体" w:eastAsia="宋体"/>
          <w:b w:val="0"/>
          <w:sz w:val="21"/>
        </w:rPr>
        <w:t>股票量化：搭建标准化财务选股模型与季度核心股票池；以分钟级板块因子叠加日线量价因子做择时选股，掘金策略样本内年化17.14%、最大回撤2%、夏普3.4。</w:t>
      </w:r>
    </w:p>
    <w:p>
      <w:pPr>
        <w:pStyle w:val="ListBullet"/>
        <w:spacing w:after="24" w:before="0" w:line="259" w:lineRule="auto"/>
      </w:pPr>
      <w:r>
        <w:rPr>
          <w:rFonts w:ascii="宋体" w:hAnsi="宋体" w:eastAsia="宋体"/>
          <w:b w:val="0"/>
          <w:sz w:val="21"/>
        </w:rPr>
        <w:t>实盘跟踪与归因：2025年资金加权收益率年化约60%，2026年截至8月约40%；具备回撤拆解、参数与因子组合稳健性检验、策略迭代经验。</w:t>
      </w:r>
    </w:p>
    <w:p>
      <w:pPr>
        <w:pStyle w:val="ListBullet"/>
        <w:spacing w:after="24" w:before="0" w:line="259" w:lineRule="auto"/>
      </w:pPr>
      <w:r>
        <w:rPr>
          <w:rFonts w:ascii="宋体" w:hAnsi="宋体" w:eastAsia="宋体"/>
          <w:b w:val="0"/>
          <w:sz w:val="21"/>
        </w:rPr>
        <w:t>数据与工程：Python（Pandas / Numpy / Talib）处理日频与分钟行情、财报与业绩预告等截面数据；可在Linux服务器完成回测与信号脚本部署、定时任务与日志监控。</w:t>
      </w:r>
    </w:p>
    <w:p>
      <w:pPr>
        <w:pStyle w:val="ListBullet"/>
        <w:spacing w:after="24" w:before="0" w:line="259" w:lineRule="auto"/>
      </w:pPr>
      <w:r>
        <w:rPr>
          <w:rFonts w:ascii="宋体" w:hAnsi="宋体" w:eastAsia="宋体"/>
          <w:b w:val="0"/>
          <w:sz w:val="21"/>
        </w:rPr>
        <w:t>实盘约束意识：关注A股停复牌、涨跌停、交易成本、滑点与可成交性对回测与实盘差异的影响，回测中重视样本外表现与过拟合识别。</w:t>
      </w:r>
    </w:p>
    <w:p>
      <w:pPr>
        <w:spacing w:before="160" w:after="60" w:line="245" w:lineRule="auto"/>
        <w:pBdr>
          <w:bottom w:val="single" w:sz="12" w:space="1" w:color="1F4E79"/>
        </w:pBdr>
      </w:pPr>
      <w:r>
        <w:rPr>
          <w:rFonts w:ascii="黑体" w:hAnsi="黑体" w:eastAsia="黑体"/>
          <w:b/>
          <w:color w:val="1F4E79"/>
          <w:sz w:val="25"/>
        </w:rPr>
        <w:t>工作经历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spacing w:before="60" w:after="20"/>
            </w:pPr>
            <w:r/>
            <w:r>
              <w:rPr>
                <w:rFonts w:ascii="黑体" w:hAnsi="黑体" w:eastAsia="黑体"/>
                <w:b/>
                <w:color w:val="2D2D2D"/>
                <w:sz w:val="21"/>
              </w:rPr>
              <w:t>【请填公司全称】（私募基金）  |  量化研究</w:t>
            </w:r>
          </w:p>
        </w:tc>
        <w:tc>
          <w:tcPr>
            <w:tcW w:type="dxa" w:w="5046"/>
          </w:tcPr>
          <w:p>
            <w:pPr>
              <w:spacing w:before="60" w:after="20"/>
              <w:jc w:val="right"/>
            </w:pPr>
            <w:r/>
            <w:r>
              <w:rPr>
                <w:rFonts w:ascii="宋体" w:hAnsi="宋体" w:eastAsia="宋体"/>
                <w:b w:val="0"/>
                <w:color w:val="555555"/>
                <w:sz w:val="20"/>
              </w:rPr>
              <w:t>2026.06 – 至今</w:t>
            </w:r>
          </w:p>
        </w:tc>
      </w:tr>
    </w:tbl>
    <w:p>
      <w:pPr>
        <w:pStyle w:val="ListBullet"/>
        <w:spacing w:after="24" w:before="0" w:line="259" w:lineRule="auto"/>
      </w:pPr>
      <w:r>
        <w:rPr>
          <w:rFonts w:ascii="宋体" w:hAnsi="宋体" w:eastAsia="宋体"/>
          <w:b w:val="0"/>
          <w:sz w:val="21"/>
        </w:rPr>
        <w:t>承接强势股放量策略的验证与优化：设计「收盘价/前20日最低价&lt;130%」等过滤条件，重构收益率测算逻辑，用控制变量法搭建4组14项指标的回测对照表，最大单笔亏损由-27%压缩至-17%。</w:t>
      </w:r>
    </w:p>
    <w:p>
      <w:pPr>
        <w:pStyle w:val="ListBullet"/>
        <w:spacing w:after="24" w:before="0" w:line="259" w:lineRule="auto"/>
      </w:pPr>
      <w:r>
        <w:rPr>
          <w:rFonts w:ascii="宋体" w:hAnsi="宋体" w:eastAsia="宋体"/>
          <w:b w:val="0"/>
          <w:sz w:val="21"/>
        </w:rPr>
        <w:t>识别该类短线动量策略的适用边界：收益主要来自放量突破后的趋势延续，在低波动与下跌区间信号质量明显下降，据此提出加入市场状态过滤与仓位控制的改进方向。</w:t>
      </w:r>
    </w:p>
    <w:p>
      <w:pPr>
        <w:pStyle w:val="ListBullet"/>
        <w:spacing w:after="24" w:before="0" w:line="259" w:lineRule="auto"/>
      </w:pPr>
      <w:r>
        <w:rPr>
          <w:rFonts w:ascii="宋体" w:hAnsi="宋体" w:eastAsia="宋体"/>
          <w:b w:val="0"/>
          <w:sz w:val="21"/>
        </w:rPr>
        <w:t>负责分钟级行情扫描与信号推送落地，并在Linux服务器完成投研脚本部署、定时任务与日志监控，保证信号生成可复现、可跟踪。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spacing w:before="60" w:after="20"/>
            </w:pPr>
            <w:r/>
            <w:r>
              <w:rPr>
                <w:rFonts w:ascii="黑体" w:hAnsi="黑体" w:eastAsia="黑体"/>
                <w:b/>
                <w:color w:val="2D2D2D"/>
                <w:sz w:val="21"/>
              </w:rPr>
              <w:t>量化研究工作室  |  独立研究员</w:t>
            </w:r>
          </w:p>
        </w:tc>
        <w:tc>
          <w:tcPr>
            <w:tcW w:type="dxa" w:w="5046"/>
          </w:tcPr>
          <w:p>
            <w:pPr>
              <w:spacing w:before="60" w:after="20"/>
              <w:jc w:val="right"/>
            </w:pPr>
            <w:r/>
            <w:r>
              <w:rPr>
                <w:rFonts w:ascii="宋体" w:hAnsi="宋体" w:eastAsia="宋体"/>
                <w:b w:val="0"/>
                <w:color w:val="555555"/>
                <w:sz w:val="20"/>
              </w:rPr>
              <w:t>2024.03 – 2026.05</w:t>
            </w:r>
          </w:p>
        </w:tc>
      </w:tr>
    </w:tbl>
    <w:p>
      <w:pPr>
        <w:pStyle w:val="ListBullet"/>
        <w:spacing w:after="24" w:before="0" w:line="259" w:lineRule="auto"/>
      </w:pPr>
      <w:r>
        <w:rPr>
          <w:rFonts w:ascii="宋体" w:hAnsi="宋体" w:eastAsia="宋体"/>
          <w:b w:val="0"/>
          <w:sz w:val="21"/>
        </w:rPr>
        <w:t>行业与赛道轮动：结合宏观与行业框架跟踪热点赛道并为多头策略定调；完善短线买卖点与持仓纪律，持续做实盘跟踪与收益归因。</w:t>
      </w:r>
    </w:p>
    <w:p>
      <w:pPr>
        <w:pStyle w:val="ListBullet"/>
        <w:spacing w:after="24" w:before="0" w:line="259" w:lineRule="auto"/>
      </w:pPr>
      <w:r>
        <w:rPr>
          <w:rFonts w:ascii="宋体" w:hAnsi="宋体" w:eastAsia="宋体"/>
          <w:b w:val="0"/>
          <w:sz w:val="21"/>
        </w:rPr>
        <w:t>基本面因子与选股：搭建标准化财务选股模型，按季度更新核心股票池；建设全市场财报采集与业绩预告/快报爬虫，将基本面与事件数据接入选股流程。</w:t>
      </w:r>
    </w:p>
    <w:p>
      <w:pPr>
        <w:pStyle w:val="ListBullet"/>
        <w:spacing w:after="24" w:before="0" w:line="259" w:lineRule="auto"/>
      </w:pPr>
      <w:r>
        <w:rPr>
          <w:rFonts w:ascii="宋体" w:hAnsi="宋体" w:eastAsia="宋体"/>
          <w:b w:val="0"/>
          <w:sz w:val="21"/>
        </w:rPr>
        <w:t>实盘结果：2025年资金加权年化约60%，2026年截至8月约40%。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spacing w:before="60" w:after="20"/>
            </w:pPr>
            <w:r/>
            <w:r>
              <w:rPr>
                <w:rFonts w:ascii="黑体" w:hAnsi="黑体" w:eastAsia="黑体"/>
                <w:b/>
                <w:color w:val="2D2D2D"/>
                <w:sz w:val="21"/>
              </w:rPr>
              <w:t>深圳引力波量化科技有限公司  |  量化研究员</w:t>
            </w:r>
          </w:p>
        </w:tc>
        <w:tc>
          <w:tcPr>
            <w:tcW w:type="dxa" w:w="5046"/>
          </w:tcPr>
          <w:p>
            <w:pPr>
              <w:spacing w:before="60" w:after="20"/>
              <w:jc w:val="right"/>
            </w:pPr>
            <w:r/>
            <w:r>
              <w:rPr>
                <w:rFonts w:ascii="宋体" w:hAnsi="宋体" w:eastAsia="宋体"/>
                <w:b w:val="0"/>
                <w:color w:val="555555"/>
                <w:sz w:val="20"/>
              </w:rPr>
              <w:t>2023.10 – 2024.02</w:t>
            </w:r>
          </w:p>
        </w:tc>
      </w:tr>
    </w:tbl>
    <w:p>
      <w:pPr>
        <w:pStyle w:val="ListBullet"/>
        <w:spacing w:after="24" w:before="0" w:line="259" w:lineRule="auto"/>
      </w:pPr>
      <w:r>
        <w:rPr>
          <w:rFonts w:ascii="宋体" w:hAnsi="宋体" w:eastAsia="宋体"/>
          <w:b w:val="0"/>
          <w:sz w:val="21"/>
        </w:rPr>
        <w:t>负责行情与交易数据获取，使用Pandas、Numpy、Talib完成清洗、特征处理与分析。</w:t>
      </w:r>
    </w:p>
    <w:p>
      <w:pPr>
        <w:pStyle w:val="ListBullet"/>
        <w:spacing w:after="24" w:before="0" w:line="259" w:lineRule="auto"/>
      </w:pPr>
      <w:r>
        <w:rPr>
          <w:rFonts w:ascii="宋体" w:hAnsi="宋体" w:eastAsia="宋体"/>
          <w:b w:val="0"/>
          <w:sz w:val="21"/>
        </w:rPr>
        <w:t>参与套利、做市等策略开发与日常优化，关注价差、持仓风险、成交质量与策略稳定性。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spacing w:before="60" w:after="20"/>
            </w:pPr>
            <w:r/>
            <w:r>
              <w:rPr>
                <w:rFonts w:ascii="黑体" w:hAnsi="黑体" w:eastAsia="黑体"/>
                <w:b/>
                <w:color w:val="2D2D2D"/>
                <w:sz w:val="21"/>
              </w:rPr>
              <w:t>江铜产融控股有限公司  |  量化研究员</w:t>
            </w:r>
          </w:p>
        </w:tc>
        <w:tc>
          <w:tcPr>
            <w:tcW w:type="dxa" w:w="5046"/>
          </w:tcPr>
          <w:p>
            <w:pPr>
              <w:spacing w:before="60" w:after="20"/>
              <w:jc w:val="right"/>
            </w:pPr>
            <w:r/>
            <w:r>
              <w:rPr>
                <w:rFonts w:ascii="宋体" w:hAnsi="宋体" w:eastAsia="宋体"/>
                <w:b w:val="0"/>
                <w:color w:val="555555"/>
                <w:sz w:val="20"/>
              </w:rPr>
              <w:t>2022.01 – 2023.09</w:t>
            </w:r>
          </w:p>
        </w:tc>
      </w:tr>
    </w:tbl>
    <w:p>
      <w:pPr>
        <w:pStyle w:val="ListBullet"/>
        <w:spacing w:after="24" w:before="0" w:line="259" w:lineRule="auto"/>
      </w:pPr>
      <w:r>
        <w:rPr>
          <w:rFonts w:ascii="宋体" w:hAnsi="宋体" w:eastAsia="宋体"/>
          <w:b w:val="0"/>
          <w:sz w:val="21"/>
        </w:rPr>
        <w:t>对北上深量化私募开展问卷设计与实地尽调并撰写尽调报告，覆盖策略逻辑、因子来源、风险控制与实盘约束。</w:t>
      </w:r>
    </w:p>
    <w:p>
      <w:pPr>
        <w:pStyle w:val="ListBullet"/>
        <w:spacing w:after="24" w:before="0" w:line="259" w:lineRule="auto"/>
      </w:pPr>
      <w:r>
        <w:rPr>
          <w:rFonts w:ascii="宋体" w:hAnsi="宋体" w:eastAsia="宋体"/>
          <w:b w:val="0"/>
          <w:sz w:val="21"/>
        </w:rPr>
        <w:t>搭建二级市场研究框架，跟踪流动性等风险指标，服务投研判断与资产配置。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spacing w:before="60" w:after="20"/>
            </w:pPr>
            <w:r/>
            <w:r>
              <w:rPr>
                <w:rFonts w:ascii="黑体" w:hAnsi="黑体" w:eastAsia="黑体"/>
                <w:b/>
                <w:color w:val="2D2D2D"/>
                <w:sz w:val="21"/>
              </w:rPr>
              <w:t>量盈私募基金管理有限公司  |  量化研究员</w:t>
            </w:r>
          </w:p>
        </w:tc>
        <w:tc>
          <w:tcPr>
            <w:tcW w:type="dxa" w:w="5046"/>
          </w:tcPr>
          <w:p>
            <w:pPr>
              <w:spacing w:before="60" w:after="20"/>
              <w:jc w:val="right"/>
            </w:pPr>
            <w:r/>
            <w:r>
              <w:rPr>
                <w:rFonts w:ascii="宋体" w:hAnsi="宋体" w:eastAsia="宋体"/>
                <w:b w:val="0"/>
                <w:color w:val="555555"/>
                <w:sz w:val="20"/>
              </w:rPr>
              <w:t>2020.08 – 2021.12</w:t>
            </w:r>
          </w:p>
        </w:tc>
      </w:tr>
    </w:tbl>
    <w:p>
      <w:pPr>
        <w:pStyle w:val="ListBullet"/>
        <w:spacing w:after="24" w:before="0" w:line="259" w:lineRule="auto"/>
      </w:pPr>
      <w:r>
        <w:rPr>
          <w:rFonts w:ascii="宋体" w:hAnsi="宋体" w:eastAsia="宋体"/>
          <w:b w:val="0"/>
          <w:sz w:val="21"/>
        </w:rPr>
        <w:t>基于聚宽、掘金开展股票与期货因子挖掘、策略开发及回测优化，覆盖日频量价与基本面相关因子。</w:t>
      </w:r>
    </w:p>
    <w:p>
      <w:pPr>
        <w:pStyle w:val="ListBullet"/>
        <w:spacing w:after="24" w:before="0" w:line="259" w:lineRule="auto"/>
      </w:pPr>
      <w:r>
        <w:rPr>
          <w:rFonts w:ascii="宋体" w:hAnsi="宋体" w:eastAsia="宋体"/>
          <w:b w:val="0"/>
          <w:sz w:val="21"/>
        </w:rPr>
        <w:t>按基金经理要求用Python复现券商金工研报，校验因子定义、去极值与标准化处理、回测口径及样本外表现。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spacing w:before="60" w:after="20"/>
            </w:pPr>
            <w:r/>
            <w:r>
              <w:rPr>
                <w:rFonts w:ascii="黑体" w:hAnsi="黑体" w:eastAsia="黑体"/>
                <w:b/>
                <w:color w:val="2D2D2D"/>
                <w:sz w:val="21"/>
              </w:rPr>
              <w:t>中国平安财产保险股份有限公司  |  再保险业务管理岗（管培生）</w:t>
            </w:r>
          </w:p>
        </w:tc>
        <w:tc>
          <w:tcPr>
            <w:tcW w:type="dxa" w:w="5046"/>
          </w:tcPr>
          <w:p>
            <w:pPr>
              <w:spacing w:before="60" w:after="20"/>
              <w:jc w:val="right"/>
            </w:pPr>
            <w:r/>
            <w:r>
              <w:rPr>
                <w:rFonts w:ascii="宋体" w:hAnsi="宋体" w:eastAsia="宋体"/>
                <w:b w:val="0"/>
                <w:color w:val="555555"/>
                <w:sz w:val="20"/>
              </w:rPr>
              <w:t>2019.07 – 2020.07</w:t>
            </w:r>
          </w:p>
        </w:tc>
      </w:tr>
    </w:tbl>
    <w:p>
      <w:pPr>
        <w:pStyle w:val="ListBullet"/>
        <w:spacing w:after="24" w:before="0" w:line="259" w:lineRule="auto"/>
      </w:pPr>
      <w:r>
        <w:rPr>
          <w:rFonts w:ascii="宋体" w:hAnsi="宋体" w:eastAsia="宋体"/>
          <w:b w:val="0"/>
          <w:sz w:val="21"/>
        </w:rPr>
        <w:t>负责再保人月度资信更新、季度坏账计提与风险指标监控，并汇总关联与非关联交易数据。</w:t>
      </w:r>
    </w:p>
    <w:p>
      <w:pPr>
        <w:spacing w:before="160" w:after="60" w:line="245" w:lineRule="auto"/>
        <w:pBdr>
          <w:bottom w:val="single" w:sz="12" w:space="1" w:color="1F4E79"/>
        </w:pBdr>
      </w:pPr>
      <w:r>
        <w:rPr>
          <w:rFonts w:ascii="黑体" w:hAnsi="黑体" w:eastAsia="黑体"/>
          <w:b/>
          <w:color w:val="1F4E79"/>
          <w:sz w:val="25"/>
        </w:rPr>
        <w:t>项目经历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spacing w:before="60" w:after="20"/>
            </w:pPr>
            <w:r/>
            <w:r>
              <w:rPr>
                <w:rFonts w:ascii="黑体" w:hAnsi="黑体" w:eastAsia="黑体"/>
                <w:b/>
                <w:color w:val="2D2D2D"/>
                <w:sz w:val="21"/>
              </w:rPr>
              <w:t>股票短线多头策略（掘金）  |  分钟板块因子 + 日线量价</w:t>
            </w:r>
          </w:p>
        </w:tc>
        <w:tc>
          <w:tcPr>
            <w:tcW w:type="dxa" w:w="5046"/>
          </w:tcPr>
          <w:p>
            <w:pPr>
              <w:spacing w:before="60" w:after="20"/>
              <w:jc w:val="right"/>
            </w:pPr>
            <w:r/>
            <w:r>
              <w:rPr>
                <w:rFonts w:ascii="宋体" w:hAnsi="宋体" w:eastAsia="宋体"/>
                <w:b w:val="0"/>
                <w:color w:val="555555"/>
                <w:sz w:val="20"/>
              </w:rPr>
              <w:t>2022.07 – 至今</w:t>
            </w:r>
          </w:p>
        </w:tc>
      </w:tr>
    </w:tbl>
    <w:p>
      <w:pPr>
        <w:spacing w:after="40" w:before="0" w:line="259" w:lineRule="auto"/>
      </w:pPr>
      <w:r>
        <w:rPr>
          <w:rFonts w:ascii="宋体" w:hAnsi="宋体" w:eastAsia="宋体"/>
          <w:b w:val="0"/>
          <w:color w:val="2D2D2D"/>
          <w:sz w:val="20"/>
        </w:rPr>
        <w:t>职责：因子挖掘与组合、回测评估、参数优化、实盘版本接入每日更新数据。</w:t>
      </w:r>
    </w:p>
    <w:p>
      <w:pPr>
        <w:pStyle w:val="ListBullet"/>
        <w:spacing w:after="24" w:before="0" w:line="259" w:lineRule="auto"/>
      </w:pPr>
      <w:r>
        <w:rPr>
          <w:rFonts w:ascii="宋体" w:hAnsi="宋体" w:eastAsia="宋体"/>
          <w:b w:val="0"/>
          <w:sz w:val="21"/>
        </w:rPr>
        <w:t>用分钟级板块因子刻画短线强度与拥挤度，结合日线量价因子完成择时与选股，形成可回测、可复现的研究流程。</w:t>
      </w:r>
    </w:p>
    <w:p>
      <w:pPr>
        <w:pStyle w:val="ListBullet"/>
        <w:spacing w:after="24" w:before="0" w:line="259" w:lineRule="auto"/>
      </w:pPr>
      <w:r>
        <w:rPr>
          <w:rFonts w:ascii="宋体" w:hAnsi="宋体" w:eastAsia="宋体"/>
          <w:b w:val="0"/>
          <w:sz w:val="21"/>
        </w:rPr>
        <w:t>回测关注收益、回撤、夏普、换手与参数稳健性；样本内最大回撤2%，年化17.14%，夏普比率3.4。</w:t>
      </w:r>
    </w:p>
    <w:p>
      <w:pPr>
        <w:pStyle w:val="ListBullet"/>
        <w:spacing w:after="24" w:before="0" w:line="259" w:lineRule="auto"/>
      </w:pPr>
      <w:r>
        <w:rPr>
          <w:rFonts w:ascii="宋体" w:hAnsi="宋体" w:eastAsia="宋体"/>
          <w:b w:val="0"/>
          <w:sz w:val="21"/>
        </w:rPr>
        <w:t>编写实盘策略接入掘金日更数据，跟踪信号衰减、滑点与可成交性，持续迭代因子与进出场规则。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spacing w:before="60" w:after="20"/>
            </w:pPr>
            <w:r/>
            <w:r>
              <w:rPr>
                <w:rFonts w:ascii="黑体" w:hAnsi="黑体" w:eastAsia="黑体"/>
                <w:b/>
                <w:color w:val="2D2D2D"/>
                <w:sz w:val="21"/>
              </w:rPr>
              <w:t>基本面选股与赛道轮动研究</w:t>
            </w:r>
          </w:p>
        </w:tc>
        <w:tc>
          <w:tcPr>
            <w:tcW w:type="dxa" w:w="5046"/>
          </w:tcPr>
          <w:p>
            <w:pPr>
              <w:spacing w:before="60" w:after="20"/>
              <w:jc w:val="right"/>
            </w:pPr>
            <w:r/>
            <w:r>
              <w:rPr>
                <w:rFonts w:ascii="宋体" w:hAnsi="宋体" w:eastAsia="宋体"/>
                <w:b w:val="0"/>
                <w:color w:val="555555"/>
                <w:sz w:val="20"/>
              </w:rPr>
              <w:t>2024.03 – 至今</w:t>
            </w:r>
          </w:p>
        </w:tc>
      </w:tr>
    </w:tbl>
    <w:p>
      <w:pPr>
        <w:pStyle w:val="ListBullet"/>
        <w:spacing w:after="24" w:before="0" w:line="259" w:lineRule="auto"/>
      </w:pPr>
      <w:r>
        <w:rPr>
          <w:rFonts w:ascii="宋体" w:hAnsi="宋体" w:eastAsia="宋体"/>
          <w:b w:val="0"/>
          <w:sz w:val="21"/>
        </w:rPr>
        <w:t>宏观赛道研究、财务选股模型与业绩预告及时性数据相结合，服务多头选股与行业轮动判断。</w:t>
      </w:r>
    </w:p>
    <w:p>
      <w:pPr>
        <w:pStyle w:val="ListBullet"/>
        <w:spacing w:after="24" w:before="0" w:line="259" w:lineRule="auto"/>
      </w:pPr>
      <w:r>
        <w:rPr>
          <w:rFonts w:ascii="宋体" w:hAnsi="宋体" w:eastAsia="宋体"/>
          <w:b w:val="0"/>
          <w:sz w:val="21"/>
        </w:rPr>
        <w:t>实盘资金加权：2025年年化约60%，2026年截至8月约40%。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spacing w:before="60" w:after="20"/>
            </w:pPr>
            <w:r/>
            <w:r>
              <w:rPr>
                <w:rFonts w:ascii="黑体" w:hAnsi="黑体" w:eastAsia="黑体"/>
                <w:b/>
                <w:color w:val="2D2D2D"/>
                <w:sz w:val="21"/>
              </w:rPr>
              <w:t>期货CTA：基于模式识别的股指策略</w:t>
            </w:r>
          </w:p>
        </w:tc>
        <w:tc>
          <w:tcPr>
            <w:tcW w:type="dxa" w:w="5046"/>
          </w:tcPr>
          <w:p>
            <w:pPr>
              <w:spacing w:before="60" w:after="20"/>
              <w:jc w:val="right"/>
            </w:pPr>
            <w:r/>
            <w:r>
              <w:rPr>
                <w:rFonts w:ascii="宋体" w:hAnsi="宋体" w:eastAsia="宋体"/>
                <w:b w:val="0"/>
                <w:color w:val="555555"/>
                <w:sz w:val="20"/>
              </w:rPr>
              <w:t>2022.01 – 2022.03</w:t>
            </w:r>
          </w:p>
        </w:tc>
      </w:tr>
    </w:tbl>
    <w:p>
      <w:pPr>
        <w:pStyle w:val="ListBullet"/>
        <w:spacing w:after="24" w:before="0" w:line="259" w:lineRule="auto"/>
      </w:pPr>
      <w:r>
        <w:rPr>
          <w:rFonts w:ascii="宋体" w:hAnsi="宋体" w:eastAsia="宋体"/>
          <w:b w:val="0"/>
          <w:sz w:val="21"/>
        </w:rPr>
        <w:t>Python结合tbquant，基于拓扑空间结构距离开发模式识别算法，在股指期货上完成策略开发、回测与参数优化。</w:t>
      </w:r>
    </w:p>
    <w:p>
      <w:pPr>
        <w:spacing w:before="160" w:after="60" w:line="245" w:lineRule="auto"/>
        <w:pBdr>
          <w:bottom w:val="single" w:sz="12" w:space="1" w:color="1F4E79"/>
        </w:pBdr>
      </w:pPr>
      <w:r>
        <w:rPr>
          <w:rFonts w:ascii="黑体" w:hAnsi="黑体" w:eastAsia="黑体"/>
          <w:b/>
          <w:color w:val="1F4E79"/>
          <w:sz w:val="25"/>
        </w:rPr>
        <w:t>教育背景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spacing w:before="60" w:after="20"/>
            </w:pPr>
            <w:r/>
            <w:r>
              <w:rPr>
                <w:rFonts w:ascii="黑体" w:hAnsi="黑体" w:eastAsia="黑体"/>
                <w:b/>
                <w:color w:val="2D2D2D"/>
                <w:sz w:val="21"/>
              </w:rPr>
              <w:t>华中科技大学  |  金融学  |  硕士（全日制）</w:t>
            </w:r>
          </w:p>
        </w:tc>
        <w:tc>
          <w:tcPr>
            <w:tcW w:type="dxa" w:w="5046"/>
          </w:tcPr>
          <w:p>
            <w:pPr>
              <w:spacing w:before="60" w:after="20"/>
              <w:jc w:val="right"/>
            </w:pPr>
            <w:r/>
            <w:r>
              <w:rPr>
                <w:rFonts w:ascii="宋体" w:hAnsi="宋体" w:eastAsia="宋体"/>
                <w:b w:val="0"/>
                <w:color w:val="555555"/>
                <w:sz w:val="20"/>
              </w:rPr>
              <w:t>2017.09 – 2019.06</w:t>
            </w:r>
          </w:p>
        </w:tc>
      </w:tr>
    </w:tbl>
    <w:p>
      <w:pPr>
        <w:pStyle w:val="ListBullet"/>
        <w:spacing w:after="24" w:before="0" w:line="259" w:lineRule="auto"/>
      </w:pPr>
      <w:r>
        <w:rPr>
          <w:rFonts w:ascii="宋体" w:hAnsi="宋体" w:eastAsia="宋体"/>
          <w:b w:val="0"/>
          <w:sz w:val="21"/>
        </w:rPr>
        <w:t>主修量化投资、财务报表分析、金融建模与计算、数理统计；考研数学130/150。</w:t>
      </w:r>
    </w:p>
    <w:p>
      <w:pPr>
        <w:pStyle w:val="ListBullet"/>
        <w:spacing w:after="24" w:before="0" w:line="259" w:lineRule="auto"/>
      </w:pPr>
      <w:r>
        <w:rPr>
          <w:rFonts w:ascii="宋体" w:hAnsi="宋体" w:eastAsia="宋体"/>
          <w:b w:val="0"/>
          <w:sz w:val="21"/>
        </w:rPr>
        <w:t>论文：《医药行业上市公司价值评估研究——以云南白药为例》（股利贴现模型与量化分析）。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spacing w:before="60" w:after="20"/>
            </w:pPr>
            <w:r/>
            <w:r>
              <w:rPr>
                <w:rFonts w:ascii="黑体" w:hAnsi="黑体" w:eastAsia="黑体"/>
                <w:b/>
                <w:color w:val="2D2D2D"/>
                <w:sz w:val="21"/>
              </w:rPr>
              <w:t>武汉科技大学  |  机械工程  |  本科（全日制）</w:t>
            </w:r>
          </w:p>
        </w:tc>
        <w:tc>
          <w:tcPr>
            <w:tcW w:type="dxa" w:w="5046"/>
          </w:tcPr>
          <w:p>
            <w:pPr>
              <w:spacing w:before="60" w:after="20"/>
              <w:jc w:val="right"/>
            </w:pPr>
            <w:r/>
            <w:r>
              <w:rPr>
                <w:rFonts w:ascii="宋体" w:hAnsi="宋体" w:eastAsia="宋体"/>
                <w:b w:val="0"/>
                <w:color w:val="555555"/>
                <w:sz w:val="20"/>
              </w:rPr>
              <w:t>2013.09 – 2017.06</w:t>
            </w:r>
          </w:p>
        </w:tc>
      </w:tr>
    </w:tbl>
    <w:p>
      <w:pPr>
        <w:spacing w:before="160" w:after="60" w:line="245" w:lineRule="auto"/>
        <w:pBdr>
          <w:bottom w:val="single" w:sz="12" w:space="1" w:color="1F4E79"/>
        </w:pBdr>
      </w:pPr>
      <w:r>
        <w:rPr>
          <w:rFonts w:ascii="黑体" w:hAnsi="黑体" w:eastAsia="黑体"/>
          <w:b/>
          <w:color w:val="1F4E79"/>
          <w:sz w:val="25"/>
        </w:rPr>
        <w:t>技能与证书</w:t>
      </w:r>
    </w:p>
    <w:p>
      <w:pPr>
        <w:pStyle w:val="ListBullet"/>
        <w:spacing w:after="24" w:before="0" w:line="259" w:lineRule="auto"/>
      </w:pPr>
      <w:r>
        <w:rPr>
          <w:rFonts w:ascii="宋体" w:hAnsi="宋体" w:eastAsia="宋体"/>
          <w:b w:val="0"/>
          <w:sz w:val="21"/>
        </w:rPr>
        <w:t>Python：Pandas、Numpy、Talib，可独立完成日频与分钟行情、财报截面数据的处理、因子计算、回测与可视化；熟悉Linux服务器环境配置、脚本部署与定时任务。</w:t>
      </w:r>
    </w:p>
    <w:p>
      <w:pPr>
        <w:pStyle w:val="ListBullet"/>
        <w:spacing w:after="24" w:before="0" w:line="259" w:lineRule="auto"/>
      </w:pPr>
      <w:r>
        <w:rPr>
          <w:rFonts w:ascii="宋体" w:hAnsi="宋体" w:eastAsia="宋体"/>
          <w:b w:val="0"/>
          <w:sz w:val="21"/>
        </w:rPr>
        <w:t>研究工具：聚宽、掘金、Wind、Stata、MATLAB、Excel；理解未来函数、过拟合与样本外失效等回测陷阱，研究中做参数稳健性与对照检验。</w:t>
      </w:r>
    </w:p>
    <w:p>
      <w:pPr>
        <w:pStyle w:val="ListBullet"/>
        <w:spacing w:after="24" w:before="0" w:line="259" w:lineRule="auto"/>
      </w:pPr>
      <w:r>
        <w:rPr>
          <w:rFonts w:ascii="宋体" w:hAnsi="宋体" w:eastAsia="宋体"/>
          <w:sz w:val="21"/>
        </w:rPr>
        <w:t>AI辅助研发：熟练使用 Claude、Cursor 等 AI 编程工具辅助数据处理、因子与回测代码开发，了解 MCP 用法，提升研究迭代效率。</w:t>
      </w:r>
    </w:p>
    <w:p>
      <w:pPr>
        <w:pStyle w:val="ListBullet"/>
        <w:spacing w:after="24" w:before="0" w:line="259" w:lineRule="auto"/>
      </w:pPr>
      <w:r>
        <w:rPr>
          <w:rFonts w:ascii="宋体" w:hAnsi="宋体" w:eastAsia="宋体"/>
          <w:b w:val="0"/>
          <w:sz w:val="21"/>
        </w:rPr>
        <w:t>证书：证券、基金、银行从业资格，计算机二级；英语六级558，可阅读英文文献。</w:t>
      </w:r>
    </w:p>
    <w:p>
      <w:pPr>
        <w:spacing w:before="120"/>
        <w:jc w:val="right"/>
      </w:pPr>
      <w:r>
        <w:rPr>
          <w:rFonts w:ascii="宋体" w:hAnsi="宋体" w:eastAsia="宋体"/>
          <w:b w:val="0"/>
          <w:color w:val="888888"/>
          <w:sz w:val="16"/>
        </w:rPr>
        <w:t>针对国联民生证券自营量化研究员岗位优化  |  2026年8月</w:t>
      </w:r>
    </w:p>
    <w:sectPr w:rsidR="00FC693F" w:rsidRPr="0006063C" w:rsidSect="00034616">
      <w:pgSz w:w="11906" w:h="16838"/>
      <w:pgMar w:top="709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