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color w:val="1F3A5F"/>
          <w:sz w:val="32"/>
        </w:rPr>
        <w:t>Yin Wei</w:t>
      </w:r>
    </w:p>
    <w:p>
      <w:pPr>
        <w:spacing w:before="0" w:after="0" w:line="240" w:lineRule="auto"/>
        <w:jc w:val="center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color w:val="555555"/>
          <w:sz w:val="19"/>
        </w:rPr>
        <w:t>Female  |  Age 31  |  CPC Member  |  Wuhan, Hubei  |  Master's in Finance  |  15671678098  |  yw43@foxmail.com</w:t>
      </w:r>
    </w:p>
    <w:p>
      <w:pPr>
        <w:spacing w:before="60" w:after="20" w:line="240" w:lineRule="auto"/>
        <w:widowControl w:val="0"/>
        <w:autoSpaceDE w:val="0"/>
        <w:autoSpaceDN w:val="0"/>
        <w:adjustRightInd w:val="0"/>
        <w:snapToGrid w:val="0"/>
        <w:pBdr>
          <w:bottom w:val="single" w:sz="6" w:space="1" w:color="1F3A5F"/>
        </w:pBdr>
      </w:pPr>
      <w:r>
        <w:rPr>
          <w:rFonts w:ascii="Calibri" w:hAnsi="Calibri" w:eastAsia="微软雅黑"/>
          <w:b/>
          <w:color w:val="1F3A5F"/>
          <w:sz w:val="21"/>
        </w:rPr>
        <w:t>Work Experience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Hubei Zhengzhi Asset Management Co., Ltd. (private fund; AMAC P1007881)</w:t>
      </w:r>
      <w:r>
        <w:rPr>
          <w:rFonts w:ascii="Calibri" w:hAnsi="Calibri" w:eastAsia="微软雅黑"/>
          <w:b w:val="0"/>
          <w:color w:val="555555"/>
          <w:sz w:val="18"/>
        </w:rPr>
        <w:t xml:space="preserve">  |  AI Investment Research Manager</w:t>
      </w:r>
      <w:r>
        <w:rPr>
          <w:rFonts w:ascii="Calibri" w:hAnsi="Calibri" w:eastAsia="微软雅黑"/>
          <w:b w:val="0"/>
          <w:color w:val="555555"/>
          <w:sz w:val="18"/>
        </w:rPr>
        <w:t xml:space="preserve">    Jun 2026 – Present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Built the investment-research workspace around workflows and a knowledge base to support the team's AI rollout. Compared Coze and other AI tools across multiple devices and clients, selected the stack, and launched Investment-Research Workflow 1.0 and Quantitative Trading System 1.0 in the research setting, including automated single-stock research notes.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2. Sent market-data updates to research colleagues: scanned for unusual intraday volume and pushed watchlist highlights at the morning, midday, and afternoon close sessions to support trading decisions.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3. Produced an "AI retreat report" on tech-versus-growth style rotations, connected it to the Wind API, and sent an automatically refreshed daily brief.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Quantitative Research Studio</w:t>
      </w:r>
      <w:r>
        <w:rPr>
          <w:rFonts w:ascii="Calibri" w:hAnsi="Calibri" w:eastAsia="微软雅黑"/>
          <w:b w:val="0"/>
          <w:color w:val="555555"/>
          <w:sz w:val="18"/>
        </w:rPr>
        <w:t xml:space="preserve">  |  Secondary-Market Researcher</w:t>
      </w:r>
      <w:r>
        <w:rPr>
          <w:rFonts w:ascii="Calibri" w:hAnsi="Calibri" w:eastAsia="微软雅黑"/>
          <w:b w:val="0"/>
          <w:color w:val="555555"/>
          <w:sz w:val="18"/>
        </w:rPr>
        <w:t xml:space="preserve">    Mar 2024 – Jun 2026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Combined macroeconomic and industry frameworks to study thematic rotation and supplied the logic used to set strategy tone.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2. Built a standardized fundamental stock-selection AI model, constructed a quarterly core universe, and refined entry and exit references with short-term technical indicators.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Jiangxi Copper Financial Holdings Co., Ltd.</w:t>
      </w:r>
      <w:r>
        <w:rPr>
          <w:rFonts w:ascii="Calibri" w:hAnsi="Calibri" w:eastAsia="微软雅黑"/>
          <w:b w:val="0"/>
          <w:color w:val="555555"/>
          <w:sz w:val="18"/>
        </w:rPr>
        <w:t xml:space="preserve">  |  Investment Management</w:t>
      </w:r>
      <w:r>
        <w:rPr>
          <w:rFonts w:ascii="Calibri" w:hAnsi="Calibri" w:eastAsia="微软雅黑"/>
          <w:b w:val="0"/>
          <w:color w:val="555555"/>
          <w:sz w:val="18"/>
        </w:rPr>
        <w:t xml:space="preserve">    Oct 2023 – Feb 2024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Designed questionnaires, conducted on-site due diligence on quantitative managers in Beijing, Shanghai, Guangzhou, and Shenzhen, and wrote manager due-diligence reports.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Liangying Private Fund Management Co., Ltd.</w:t>
      </w:r>
      <w:r>
        <w:rPr>
          <w:rFonts w:ascii="Calibri" w:hAnsi="Calibri" w:eastAsia="微软雅黑"/>
          <w:b w:val="0"/>
          <w:color w:val="555555"/>
          <w:sz w:val="18"/>
        </w:rPr>
        <w:t xml:space="preserve">  |  Quantitative Researcher</w:t>
      </w:r>
      <w:r>
        <w:rPr>
          <w:rFonts w:ascii="Calibri" w:hAnsi="Calibri" w:eastAsia="微软雅黑"/>
          <w:b w:val="0"/>
          <w:color w:val="555555"/>
          <w:sz w:val="18"/>
        </w:rPr>
        <w:t xml:space="preserve">    Jan 2022 – Sep 2023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Mined futures and equity factors, developed and backtested strategies, and reviewed the results for further optimization.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2. Replicated sell-side financial-engineering strategy reports in Python at the portfolio manager's request.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Shenzhen Gravity Wave Quantitative Technology Co., Ltd.</w:t>
      </w:r>
      <w:r>
        <w:rPr>
          <w:rFonts w:ascii="Calibri" w:hAnsi="Calibri" w:eastAsia="微软雅黑"/>
          <w:b w:val="0"/>
          <w:color w:val="555555"/>
          <w:sz w:val="18"/>
        </w:rPr>
        <w:t xml:space="preserve">  |  Market-Making Product Manager</w:t>
      </w:r>
      <w:r>
        <w:rPr>
          <w:rFonts w:ascii="Calibri" w:hAnsi="Calibri" w:eastAsia="微软雅黑"/>
          <w:b w:val="0"/>
          <w:color w:val="555555"/>
          <w:sz w:val="18"/>
        </w:rPr>
        <w:t xml:space="preserve">    Aug 2020 – Dec 2021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Worked directly with the exchange. Translated order-book display requirements into executable parameters: price placement from bid one through bid five, size at each level, and the interval in seconds for sequential quoting.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2. Implemented and launched the quoting program in Python on the exchange API; built physical and strategy-level risk controls; monitored the book and, in extreme markets, canceled orders and flattened positions by trading in the opposite direction.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3. Retrieved and cleaned trading data (Pandas, NumPy, TA-Lib) and tracked arbitrage P&amp;L on the market-making project.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Ping An Property &amp; Casualty Insurance Company of China, Ltd.</w:t>
      </w:r>
      <w:r>
        <w:rPr>
          <w:rFonts w:ascii="Calibri" w:hAnsi="Calibri" w:eastAsia="微软雅黑"/>
          <w:b w:val="0"/>
          <w:color w:val="555555"/>
          <w:sz w:val="18"/>
        </w:rPr>
        <w:t xml:space="preserve">  |  Reinsurance Administration (Management Trainee)</w:t>
      </w:r>
      <w:r>
        <w:rPr>
          <w:rFonts w:ascii="Calibri" w:hAnsi="Calibri" w:eastAsia="微软雅黑"/>
          <w:b w:val="0"/>
          <w:color w:val="555555"/>
          <w:sz w:val="18"/>
        </w:rPr>
        <w:t xml:space="preserve">    Jul 2019 – Jul 2020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Used Excel to update and review reinsurer credit files monthly, book quarterly bad-debt provisions, monitor risk indicators, and consolidate related-party and non-related-party transaction data.</w:t>
      </w:r>
    </w:p>
    <w:p>
      <w:pPr>
        <w:spacing w:before="60" w:after="20" w:line="240" w:lineRule="auto"/>
        <w:widowControl w:val="0"/>
        <w:autoSpaceDE w:val="0"/>
        <w:autoSpaceDN w:val="0"/>
        <w:adjustRightInd w:val="0"/>
        <w:snapToGrid w:val="0"/>
        <w:pBdr>
          <w:bottom w:val="single" w:sz="6" w:space="1" w:color="1F3A5F"/>
        </w:pBdr>
      </w:pPr>
      <w:r>
        <w:rPr>
          <w:rFonts w:ascii="Calibri" w:hAnsi="Calibri" w:eastAsia="微软雅黑"/>
          <w:b/>
          <w:color w:val="1F3A5F"/>
          <w:sz w:val="21"/>
        </w:rPr>
        <w:t>Education</w:t>
      </w:r>
    </w:p>
    <w:p>
      <w:pPr>
        <w:spacing w:before="2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Sep 2017 – Jun 2019    Huazhong University of Science and Technology    Finance    Master's (full-time)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Sep 2013 – Jun 2017    Wuhan University of Science and Technology    Mechanical Engineering    Bachelor's (full-time)</w:t>
      </w:r>
    </w:p>
    <w:p>
      <w:pPr>
        <w:spacing w:before="60" w:after="20" w:line="240" w:lineRule="auto"/>
        <w:widowControl w:val="0"/>
        <w:autoSpaceDE w:val="0"/>
        <w:autoSpaceDN w:val="0"/>
        <w:adjustRightInd w:val="0"/>
        <w:snapToGrid w:val="0"/>
        <w:pBdr>
          <w:bottom w:val="single" w:sz="6" w:space="1" w:color="1F3A5F"/>
        </w:pBdr>
      </w:pPr>
      <w:r>
        <w:rPr>
          <w:rFonts w:ascii="Calibri" w:hAnsi="Calibri" w:eastAsia="微软雅黑"/>
          <w:b/>
          <w:color w:val="1F3A5F"/>
          <w:sz w:val="21"/>
        </w:rPr>
        <w:t>Projects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● Investment-Research AI: Turning Requests into Decision Support</w:t>
      </w:r>
      <w:r>
        <w:rPr>
          <w:rFonts w:ascii="Calibri" w:hAnsi="Calibri" w:eastAsia="微软雅黑"/>
          <w:b w:val="0"/>
          <w:color w:val="555555"/>
          <w:sz w:val="18"/>
        </w:rPr>
        <w:t xml:space="preserve">    Jun 2026 – Present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Description: Used AI to turn research-note generation, announcements, and market scans into runnable workflows, and turned colleagues' requests into reusable processes and systems.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Built the team's research platform—daily workflows, AI research workflows, and a knowledge base—and connected the workspace end to end. Helped the team keep an AI-supported audit trail, archive work, collaborate, and conduct research.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2. Deployed AI-generated research notes and market reviews to a research agent and pushed them to WeChat and Feishu each day.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3. Parsed market data (intraday volume-spike scans) and pushed the watchlist by session.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● Equity Investment Research</w:t>
      </w:r>
      <w:r>
        <w:rPr>
          <w:rFonts w:ascii="Calibri" w:hAnsi="Calibri" w:eastAsia="微软雅黑"/>
          <w:b w:val="0"/>
          <w:color w:val="555555"/>
          <w:sz w:val="18"/>
        </w:rPr>
        <w:t xml:space="preserve">    Mar 2024 – Present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Description: Used Cursor and other AI agents to build a multi-factor stock-analysis framework covering fundamentals, sentiment, and technicals: parsing market data, organizing the logic, and attributing earnings to support strategy research.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Built a filings-data pipeline that pulls A-share fundamentals through Tushare and computes related factor values.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2. Wrote crawlers for earnings pre-announcements and flash reports, and designed a real-time hot-concept dashboard.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Results: The work deepened understanding of fundamentals, short-term technical patterns, and sentiment cycles, and turned research ideas into checkable stock-selection rules.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● Short-Term Long-Only Equity Strategy</w:t>
      </w:r>
      <w:r>
        <w:rPr>
          <w:rFonts w:ascii="Calibri" w:hAnsi="Calibri" w:eastAsia="微软雅黑"/>
          <w:b w:val="0"/>
          <w:color w:val="555555"/>
          <w:sz w:val="18"/>
        </w:rPr>
        <w:t xml:space="preserve">    Jul 2022 – Feb 2023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Description: Developed a short-term long-only equity strategy on the GoldMiner platform. Combined minute-level sector factors with daily price-volume factors for timing and selection, then ran the strategy in live trading. Mined six factors; a three-factor combination performed best.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Combined price-volume relationships into timing and selection factors, designed entry and exit rules, and backtested parameter and factor combinations.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2. Wrote a live-trading version and connected it to GoldMiner's daily data updates.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Results: In-sample backtest: 2% maximum drawdown, 17.14% annualized return, and a Sharpe ratio of 3.4.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● Financial-Engineering Report Replication</w:t>
      </w:r>
      <w:r>
        <w:rPr>
          <w:rFonts w:ascii="Calibri" w:hAnsi="Calibri" w:eastAsia="微软雅黑"/>
          <w:b w:val="0"/>
          <w:color w:val="555555"/>
          <w:sz w:val="18"/>
        </w:rPr>
        <w:t xml:space="preserve">    Nov 2022 – Jan 2023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Description: Replicated the financial-engineering report “3M Sector Rotation Strategy” in Python using the Wind database.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Studied the report, collected the relevant micro-level data from Wind, and implemented the factor algorithms.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Results: Micro-factor data collection and cross-sectional factor outputs were completed.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● Futures CTA Strategy Research</w:t>
      </w:r>
      <w:r>
        <w:rPr>
          <w:rFonts w:ascii="Calibri" w:hAnsi="Calibri" w:eastAsia="微软雅黑"/>
          <w:b w:val="0"/>
          <w:color w:val="555555"/>
          <w:sz w:val="18"/>
        </w:rPr>
        <w:t xml:space="preserve">    Jan 2022 – Mar 2022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Description: Developed and optimized a futures pattern-recognition strategy in Python with TBQuant.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Connected TBQuant to Python for data processing and handoff, and built a pattern-recognition algorithm based on topological spatial-structure distance.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2. Applied the strategy to index futures and refined the backtest, the strategy, and its parameters.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Results: An index-futures backtest from 2012 through 2018 was positive in each of the seven years, with an annualized return of 80%.</w:t>
      </w:r>
    </w:p>
    <w:p>
      <w:pPr>
        <w:spacing w:before="6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/>
          <w:sz w:val="18"/>
        </w:rPr>
        <w:t>● Market-Making Project: Requirements → Quoting Design → Launch</w:t>
      </w:r>
      <w:r>
        <w:rPr>
          <w:rFonts w:ascii="Calibri" w:hAnsi="Calibri" w:eastAsia="微软雅黑"/>
          <w:b w:val="0"/>
          <w:color w:val="555555"/>
          <w:sz w:val="18"/>
        </w:rPr>
        <w:t xml:space="preserve">    Dec 2020 – Dec 2021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Description: Provided liquidity to an exchange, covering requirements, design, and implementation end to end.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1. Aligned with the exchange on liquidity targets and order-book shape, and designed quoting-sequence parameters so that five-level prices, sizes, and stagger timing stayed close to a live market.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2. Implemented and launched the program in Python; paired physical and programmatic risk controls; monitored extreme-market risk and manually reversed to flat when needed.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Results: Increased trading activity on the exchange and completed the loop from requirements to parameter design, implementation, launch, and monitoring.</w:t>
      </w:r>
    </w:p>
    <w:p>
      <w:pPr>
        <w:spacing w:before="60" w:after="20" w:line="240" w:lineRule="auto"/>
        <w:widowControl w:val="0"/>
        <w:autoSpaceDE w:val="0"/>
        <w:autoSpaceDN w:val="0"/>
        <w:adjustRightInd w:val="0"/>
        <w:snapToGrid w:val="0"/>
        <w:pBdr>
          <w:bottom w:val="single" w:sz="6" w:space="1" w:color="1F3A5F"/>
        </w:pBdr>
      </w:pPr>
      <w:r>
        <w:rPr>
          <w:rFonts w:ascii="Calibri" w:hAnsi="Calibri" w:eastAsia="微软雅黑"/>
          <w:b/>
          <w:color w:val="1F3A5F"/>
          <w:sz w:val="21"/>
        </w:rPr>
        <w:t>Honors &amp; Skills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Securities, fund, and banking qualification certificates; National Computer Rank Examination Level 2; CET-4 and CET-6 (CET-6 score 558). Master's thesis: “Valuation of Listed Companies in the Pharmaceutical Industry: A Case Study of Yunnan Baiyao” (Gordon dividend-discount model, with a quantitative strategy written in Python for validation).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I am proficient in Python, MATLAB, Wind, Stata, Excel, Access, and PowerPoint, and I can combine Wind and Excel for financial data analysis.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Daily work includes using Cursor and Claude to break down, implement, and review investment-research tasks; connecting tools into workflows through MCP; building research agents in Coze and connecting them to WeChat and Feishu; encoding multi-step tasks as runnable agent flows (LangGraph); and writing skills for the Coze store. I am familiar with the use cases of different AI tools and models, and I can write code independently or use AI to write code for lightweight checks.</w:t>
      </w:r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8"/>
        </w:rPr>
        <w:t>Recent remote work includes the Xpert financial-expert AI annotation project and quantitative-studio collaboration delivered remotely.</w:t>
      </w:r>
    </w:p>
    <w:p>
      <w:pPr>
        <w:spacing w:before="60" w:after="20" w:line="240" w:lineRule="auto"/>
        <w:widowControl w:val="0"/>
        <w:autoSpaceDE w:val="0"/>
        <w:autoSpaceDN w:val="0"/>
        <w:adjustRightInd w:val="0"/>
        <w:snapToGrid w:val="0"/>
        <w:pBdr>
          <w:bottom w:val="single" w:sz="6" w:space="1" w:color="1F3A5F"/>
        </w:pBdr>
      </w:pPr>
      <w:r>
        <w:rPr>
          <w:rFonts w:ascii="Calibri" w:hAnsi="Calibri" w:eastAsia="微软雅黑"/>
          <w:b/>
          <w:color w:val="1F3A5F"/>
          <w:sz w:val="21"/>
        </w:rPr>
        <w:t>Portfolio</w:t>
      </w:r>
    </w:p>
    <w:p>
      <w:pPr>
        <w:spacing w:before="2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7"/>
        </w:rPr>
        <w:t xml:space="preserve">Investment-research Skills (English): </w:t>
      </w:r>
      <w:hyperlink r:id="rId9">
        <w:r>
          <w:rPr>
            <w:rFonts w:ascii="Calibri" w:hAnsi="Calibri" w:eastAsia="微软雅黑"/>
            <w:sz w:val="17"/>
            <w:szCs w:val="17"/>
            <w:color w:val="0563C1"/>
            <w:u w:val="single"/>
          </w:rPr>
          <w:t xml:space="preserve">https://github.com/invy95/myCode/raw/cursor/skills-public-6afc/Finance_Research_Skills_EN.docx</w:t>
        </w:r>
      </w:hyperlink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7"/>
        </w:rPr>
        <w:t xml:space="preserve">Breathing Bubble meditation desktop widget: </w:t>
      </w:r>
      <w:hyperlink r:id="rId10">
        <w:r>
          <w:rPr>
            <w:rFonts w:ascii="Calibri" w:hAnsi="Calibri" w:eastAsia="微软雅黑"/>
            <w:sz w:val="17"/>
            <w:szCs w:val="17"/>
            <w:color w:val="0563C1"/>
            <w:u w:val="single"/>
          </w:rPr>
          <w:t xml:space="preserve">https://github.com/invy95/minduful-breathing/releases/download/v1.0.1/BreathingBall-Open.zip</w:t>
        </w:r>
      </w:hyperlink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7"/>
        </w:rPr>
        <w:t xml:space="preserve">AI explainer video: </w:t>
      </w:r>
      <w:hyperlink r:id="rId11">
        <w:r>
          <w:rPr>
            <w:rFonts w:ascii="Calibri" w:hAnsi="Calibri" w:eastAsia="微软雅黑"/>
            <w:sz w:val="17"/>
            <w:szCs w:val="17"/>
            <w:color w:val="0563C1"/>
            <w:u w:val="single"/>
          </w:rPr>
          <w:t xml:space="preserve">https://m.bilibili.com/video/BV1E9Y46oEGX?share_source=weixin_web&amp;vd_source=9911c2ba7a4191da6df1074d816fc961</w:t>
        </w:r>
      </w:hyperlink>
    </w:p>
    <w:p>
      <w:pPr>
        <w:spacing w:before="0" w:after="0" w:line="240" w:lineRule="auto"/>
        <w:widowControl w:val="0"/>
        <w:autoSpaceDE w:val="0"/>
        <w:autoSpaceDN w:val="0"/>
        <w:adjustRightInd w:val="0"/>
        <w:snapToGrid w:val="0"/>
      </w:pPr>
      <w:r>
        <w:rPr>
          <w:rFonts w:ascii="Calibri" w:hAnsi="Calibri" w:eastAsia="微软雅黑"/>
          <w:b w:val="0"/>
          <w:sz w:val="17"/>
        </w:rPr>
        <w:t xml:space="preserve">Douyin video: </w:t>
      </w:r>
      <w:hyperlink r:id="rId12">
        <w:r>
          <w:rPr>
            <w:rFonts w:ascii="Calibri" w:hAnsi="Calibri" w:eastAsia="微软雅黑"/>
            <w:sz w:val="17"/>
            <w:szCs w:val="17"/>
            <w:color w:val="0563C1"/>
            <w:u w:val="single"/>
          </w:rPr>
          <w:t xml:space="preserve">https://v.douyin.com/Hszw0uTsQuY/</w:t>
        </w:r>
      </w:hyperlink>
    </w:p>
    <w:sectPr w:rsidR="00FC693F" w:rsidRPr="0006063C" w:rsidSect="00034616">
      <w:pgSz w:w="11906" w:h="16838"/>
      <w:pgMar w:top="595" w:right="765" w:bottom="595" w:left="765" w:header="720" w:footer="720" w:gutter="0"/>
      <w:cols w:space="720"/>
      <w:docGrid w:linePitch="24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widowControl w:val="0"/>
      <w:autoSpaceDE w:val="0"/>
      <w:autoSpaceDN w:val="0"/>
    </w:pPr>
    <w:rPr>
      <w:rFonts w:ascii="Calibri" w:hAnsi="Calibr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nvy95/myCode/raw/cursor/skills-public-6afc/Finance_Research_Skills_EN.docx" TargetMode="External"/><Relationship Id="rId10" Type="http://schemas.openxmlformats.org/officeDocument/2006/relationships/hyperlink" Target="https://github.com/invy95/minduful-breathing/releases/download/v1.0.1/BreathingBall-Open.zip" TargetMode="External"/><Relationship Id="rId11" Type="http://schemas.openxmlformats.org/officeDocument/2006/relationships/hyperlink" Target="https://m.bilibili.com/video/BV1E9Y46oEGX?share_source=weixin_web&amp;vd_source=9911c2ba7a4191da6df1074d816fc961" TargetMode="External"/><Relationship Id="rId12" Type="http://schemas.openxmlformats.org/officeDocument/2006/relationships/hyperlink" Target="https://v.douyin.com/Hszw0uTsQu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